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spacing w:after="0" w:before="200" w:line="240" w:lineRule="auto"/>
        <w:rPr>
          <w:rFonts w:ascii="Roboto" w:cs="Roboto" w:eastAsia="Roboto" w:hAnsi="Roboto"/>
          <w:b w:val="1"/>
          <w:color w:val="004d7c"/>
          <w:sz w:val="60"/>
          <w:szCs w:val="60"/>
        </w:rPr>
      </w:pPr>
      <w:bookmarkStart w:colFirst="0" w:colLast="0" w:name="_zetqtp8ql10j" w:id="0"/>
      <w:bookmarkEnd w:id="0"/>
      <w:r w:rsidDel="00000000" w:rsidR="00000000" w:rsidRPr="00000000">
        <w:rPr>
          <w:rFonts w:ascii="Roboto" w:cs="Roboto" w:eastAsia="Roboto" w:hAnsi="Roboto"/>
          <w:color w:val="40acd2"/>
          <w:sz w:val="48"/>
          <w:szCs w:val="48"/>
          <w:rtl w:val="0"/>
        </w:rPr>
        <w:t xml:space="preserve">Irving ISD</w:t>
      </w:r>
      <w:r w:rsidDel="00000000" w:rsidR="00000000" w:rsidRPr="00000000">
        <w:rPr>
          <w:rFonts w:ascii="Proxima Nova" w:cs="Proxima Nova" w:eastAsia="Proxima Nova" w:hAnsi="Proxima Nova"/>
          <w:color w:val="404040"/>
          <w:sz w:val="48"/>
          <w:szCs w:val="48"/>
          <w:rtl w:val="0"/>
        </w:rPr>
        <w:br w:type="textWrapping"/>
      </w:r>
      <w:r w:rsidDel="00000000" w:rsidR="00000000" w:rsidRPr="00000000">
        <w:rPr>
          <w:rFonts w:ascii="Roboto" w:cs="Roboto" w:eastAsia="Roboto" w:hAnsi="Roboto"/>
          <w:b w:val="1"/>
          <w:color w:val="404040"/>
          <w:sz w:val="60"/>
          <w:szCs w:val="60"/>
          <w:rtl w:val="0"/>
        </w:rPr>
        <w:t xml:space="preserve">Sandbox Courses-FAQs</w:t>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drawing>
          <wp:inline distB="114300" distT="114300" distL="114300" distR="114300">
            <wp:extent cx="752475" cy="190500"/>
            <wp:effectExtent b="0" l="0" r="0" t="0"/>
            <wp:docPr id="2" name="image3.png"/>
            <a:graphic>
              <a:graphicData uri="http://schemas.openxmlformats.org/drawingml/2006/picture">
                <pic:pic>
                  <pic:nvPicPr>
                    <pic:cNvPr id="0" name="image3.png"/>
                    <pic:cNvPicPr preferRelativeResize="0"/>
                  </pic:nvPicPr>
                  <pic:blipFill>
                    <a:blip r:embed="rId6"/>
                    <a:srcRect b="79797" l="0" r="80871" t="0"/>
                    <a:stretch>
                      <a:fillRect/>
                    </a:stretch>
                  </pic:blipFill>
                  <pic:spPr>
                    <a:xfrm>
                      <a:off x="0" y="0"/>
                      <a:ext cx="752475"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3"/>
        <w:pageBreakBefore w:val="0"/>
        <w:rPr/>
      </w:pPr>
      <w:bookmarkStart w:colFirst="0" w:colLast="0" w:name="_rd9eqmd00viv" w:id="1"/>
      <w:bookmarkEnd w:id="1"/>
      <w:r w:rsidDel="00000000" w:rsidR="00000000" w:rsidRPr="00000000">
        <w:rPr>
          <w:rtl w:val="0"/>
        </w:rPr>
        <w:t xml:space="preserve">What is the difference between a “sandbox” and “live” course? </w:t>
      </w:r>
    </w:p>
    <w:p w:rsidR="00000000" w:rsidDel="00000000" w:rsidP="00000000" w:rsidRDefault="00000000" w:rsidRPr="00000000" w14:paraId="00000004">
      <w:pPr>
        <w:pageBreakBefore w:val="0"/>
        <w:numPr>
          <w:ilvl w:val="0"/>
          <w:numId w:val="3"/>
        </w:numPr>
        <w:spacing w:after="200" w:before="200" w:lineRule="auto"/>
        <w:ind w:left="720" w:hanging="360"/>
      </w:pPr>
      <w:r w:rsidDel="00000000" w:rsidR="00000000" w:rsidRPr="00000000">
        <w:rPr>
          <w:b w:val="1"/>
          <w:color w:val="333333"/>
          <w:rtl w:val="0"/>
        </w:rPr>
        <w:t xml:space="preserve">Sandbox: </w:t>
      </w:r>
      <w:r w:rsidDel="00000000" w:rsidR="00000000" w:rsidRPr="00000000">
        <w:rPr>
          <w:color w:val="333333"/>
          <w:rtl w:val="0"/>
        </w:rPr>
        <w:t xml:space="preserve">A Canvas sandbox is a course shell that students cannot access. Sandboxes are a place where a teacher can play.  They can be used to build content in a space that can be reset or changed without the worry of students seeing any in-progress content. Sandboxes will not be deleted unless requested by the instructor. Sandboxes can remain active as long as the instructor wants to save that content.One sandbox course is created for each teacher.  Should a second sandbox be needed, please click on this link to review IISD requirements and request a course.  </w:t>
      </w:r>
      <w:hyperlink r:id="rId7">
        <w:r w:rsidDel="00000000" w:rsidR="00000000" w:rsidRPr="00000000">
          <w:rPr>
            <w:color w:val="1155cc"/>
            <w:u w:val="single"/>
            <w:rtl w:val="0"/>
          </w:rPr>
          <w:t xml:space="preserve">Request a Course Guidelines </w:t>
        </w:r>
      </w:hyperlink>
      <w:r w:rsidDel="00000000" w:rsidR="00000000" w:rsidRPr="00000000">
        <w:rPr>
          <w:color w:val="333333"/>
          <w:rtl w:val="0"/>
        </w:rPr>
        <w:t xml:space="preserve"> </w:t>
      </w:r>
    </w:p>
    <w:p w:rsidR="00000000" w:rsidDel="00000000" w:rsidP="00000000" w:rsidRDefault="00000000" w:rsidRPr="00000000" w14:paraId="00000005">
      <w:pPr>
        <w:pageBreakBefore w:val="0"/>
        <w:spacing w:after="200" w:before="200" w:lineRule="auto"/>
        <w:rPr>
          <w:color w:val="333333"/>
          <w:sz w:val="2"/>
          <w:szCs w:val="2"/>
        </w:rPr>
      </w:pPr>
      <w:r w:rsidDel="00000000" w:rsidR="00000000" w:rsidRPr="00000000">
        <w:rPr>
          <w:rtl w:val="0"/>
        </w:rPr>
      </w:r>
    </w:p>
    <w:p w:rsidR="00000000" w:rsidDel="00000000" w:rsidP="00000000" w:rsidRDefault="00000000" w:rsidRPr="00000000" w14:paraId="00000006">
      <w:pPr>
        <w:pageBreakBefore w:val="0"/>
        <w:numPr>
          <w:ilvl w:val="0"/>
          <w:numId w:val="3"/>
        </w:numPr>
        <w:spacing w:after="200" w:before="200" w:lineRule="auto"/>
        <w:ind w:left="720" w:hanging="360"/>
      </w:pPr>
      <w:r w:rsidDel="00000000" w:rsidR="00000000" w:rsidRPr="00000000">
        <w:rPr>
          <w:b w:val="1"/>
          <w:color w:val="333333"/>
          <w:rtl w:val="0"/>
        </w:rPr>
        <w:t xml:space="preserve">Live Course:</w:t>
      </w:r>
      <w:r w:rsidDel="00000000" w:rsidR="00000000" w:rsidRPr="00000000">
        <w:rPr>
          <w:color w:val="333333"/>
          <w:rtl w:val="0"/>
        </w:rPr>
        <w:t xml:space="preserve"> Live courses are the courses that are tied to eSchool.  They are tied to a specific semester/year and are the courses that students can access. Live courses automatically come into Canvas before the first day of class and the instructor can choose whether or not to make that course visible to students or not by "publishing" that course. Live courses will only stay in Canvas for one year. If an instructor wants to keep the content from a live course for more than a year, they have several options.  One option is to copy the content to the sandbox course.  See </w:t>
      </w:r>
      <w:hyperlink r:id="rId8">
        <w:r w:rsidDel="00000000" w:rsidR="00000000" w:rsidRPr="00000000">
          <w:rPr>
            <w:color w:val="333366"/>
            <w:u w:val="single"/>
            <w:rtl w:val="0"/>
          </w:rPr>
          <w:t xml:space="preserve">How to Copy Canvas Content</w:t>
        </w:r>
      </w:hyperlink>
      <w:r w:rsidDel="00000000" w:rsidR="00000000" w:rsidRPr="00000000">
        <w:rPr>
          <w:rtl w:val="0"/>
        </w:rPr>
        <w:t xml:space="preserve">.</w:t>
      </w:r>
    </w:p>
    <w:p w:rsidR="00000000" w:rsidDel="00000000" w:rsidP="00000000" w:rsidRDefault="00000000" w:rsidRPr="00000000" w14:paraId="00000007">
      <w:pPr>
        <w:pStyle w:val="Heading3"/>
        <w:pageBreakBefore w:val="0"/>
        <w:rPr/>
      </w:pPr>
      <w:bookmarkStart w:colFirst="0" w:colLast="0" w:name="_bctwjjxem8wu" w:id="2"/>
      <w:bookmarkEnd w:id="2"/>
      <w:r w:rsidDel="00000000" w:rsidR="00000000" w:rsidRPr="00000000">
        <w:rPr>
          <w:rtl w:val="0"/>
        </w:rPr>
        <w:t xml:space="preserve">How can I tell the difference between a sandbox and a live course? </w:t>
      </w:r>
    </w:p>
    <w:p w:rsidR="00000000" w:rsidDel="00000000" w:rsidP="00000000" w:rsidRDefault="00000000" w:rsidRPr="00000000" w14:paraId="00000008">
      <w:pPr>
        <w:pageBreakBefore w:val="0"/>
        <w:numPr>
          <w:ilvl w:val="0"/>
          <w:numId w:val="1"/>
        </w:numPr>
        <w:spacing w:after="200" w:before="200" w:lineRule="auto"/>
        <w:ind w:left="720" w:hanging="360"/>
      </w:pPr>
      <w:r w:rsidDel="00000000" w:rsidR="00000000" w:rsidRPr="00000000">
        <w:rPr>
          <w:color w:val="333333"/>
          <w:rtl w:val="0"/>
        </w:rPr>
        <w:t xml:space="preserve">There are a few different ways to tell the difference between a sandbox and a live course. The main difference will be the course card on the Canvas dashboard. By default, live courses will come into Canvas with the name that they have in eSchool and they will have a semester listed underneath the course code. Sandboxes will not have a semester listed and will have "SANDBOX" in both the course title and course code.</w:t>
      </w:r>
    </w:p>
    <w:p w:rsidR="00000000" w:rsidDel="00000000" w:rsidP="00000000" w:rsidRDefault="00000000" w:rsidRPr="00000000" w14:paraId="00000009">
      <w:pPr>
        <w:pStyle w:val="Heading3"/>
        <w:pageBreakBefore w:val="0"/>
        <w:spacing w:after="200" w:before="200" w:lineRule="auto"/>
        <w:rPr/>
      </w:pPr>
      <w:bookmarkStart w:colFirst="0" w:colLast="0" w:name="_sjww5iwdywe4" w:id="3"/>
      <w:bookmarkEnd w:id="3"/>
      <w:r w:rsidDel="00000000" w:rsidR="00000000" w:rsidRPr="00000000">
        <w:rPr>
          <w:rtl w:val="0"/>
        </w:rPr>
        <w:t xml:space="preserve">How do I change my sandbox into a live course? </w:t>
      </w:r>
    </w:p>
    <w:p w:rsidR="00000000" w:rsidDel="00000000" w:rsidP="00000000" w:rsidRDefault="00000000" w:rsidRPr="00000000" w14:paraId="0000000A">
      <w:pPr>
        <w:pageBreakBefore w:val="0"/>
        <w:numPr>
          <w:ilvl w:val="0"/>
          <w:numId w:val="2"/>
        </w:numPr>
        <w:spacing w:after="200" w:before="200" w:lineRule="auto"/>
        <w:ind w:left="720" w:hanging="360"/>
      </w:pPr>
      <w:r w:rsidDel="00000000" w:rsidR="00000000" w:rsidRPr="00000000">
        <w:rPr>
          <w:color w:val="333333"/>
          <w:rtl w:val="0"/>
        </w:rPr>
        <w:t xml:space="preserve">Sandboxes and live courses are two separate types of courses. A sandbox </w:t>
      </w:r>
      <w:r w:rsidDel="00000000" w:rsidR="00000000" w:rsidRPr="00000000">
        <w:rPr>
          <w:b w:val="1"/>
          <w:color w:val="333333"/>
          <w:rtl w:val="0"/>
        </w:rPr>
        <w:t xml:space="preserve">should NOT be changed</w:t>
      </w:r>
      <w:r w:rsidDel="00000000" w:rsidR="00000000" w:rsidRPr="00000000">
        <w:rPr>
          <w:color w:val="333333"/>
          <w:rtl w:val="0"/>
        </w:rPr>
        <w:t xml:space="preserve"> into a live course, however, the content from a sandbox can be copied into a live course. To copy content from your sandbox into a live course, follow these instructions: </w:t>
      </w:r>
      <w:hyperlink r:id="rId9">
        <w:r w:rsidDel="00000000" w:rsidR="00000000" w:rsidRPr="00000000">
          <w:rPr>
            <w:color w:val="333366"/>
            <w:u w:val="single"/>
            <w:rtl w:val="0"/>
          </w:rPr>
          <w:t xml:space="preserve">How to Copy Canvas Content</w:t>
        </w:r>
      </w:hyperlink>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rFonts w:ascii="Roboto" w:cs="Roboto" w:eastAsia="Roboto" w:hAnsi="Roboto"/>
          <w:color w:val="40acd2"/>
          <w:sz w:val="48"/>
          <w:szCs w:val="48"/>
        </w:rPr>
      </w:pPr>
      <w:r w:rsidDel="00000000" w:rsidR="00000000" w:rsidRPr="00000000">
        <w:rPr/>
        <w:drawing>
          <wp:inline distB="114300" distT="114300" distL="114300" distR="114300">
            <wp:extent cx="638175" cy="190500"/>
            <wp:effectExtent b="0" l="0" r="0" t="0"/>
            <wp:docPr id="1" name="image2.png"/>
            <a:graphic>
              <a:graphicData uri="http://schemas.openxmlformats.org/drawingml/2006/picture">
                <pic:pic>
                  <pic:nvPicPr>
                    <pic:cNvPr id="0" name="image2.png"/>
                    <pic:cNvPicPr preferRelativeResize="0"/>
                  </pic:nvPicPr>
                  <pic:blipFill>
                    <a:blip r:embed="rId10"/>
                    <a:srcRect b="65900" l="0" r="0" t="0"/>
                    <a:stretch>
                      <a:fillRect/>
                    </a:stretch>
                  </pic:blipFill>
                  <pic:spPr>
                    <a:xfrm>
                      <a:off x="0" y="0"/>
                      <a:ext cx="638175"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sectPr>
      <w:headerReference r:id="rId11" w:type="default"/>
      <w:footerReference r:id="rId12"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roxima Nov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ageBreakBefore w:val="0"/>
      <w:rPr>
        <w:rFonts w:ascii="Roboto" w:cs="Roboto" w:eastAsia="Roboto" w:hAnsi="Roboto"/>
        <w:color w:val="999999"/>
      </w:rPr>
    </w:pPr>
    <w:r w:rsidDel="00000000" w:rsidR="00000000" w:rsidRPr="00000000">
      <w:rPr>
        <w:rFonts w:ascii="Roboto" w:cs="Roboto" w:eastAsia="Roboto" w:hAnsi="Roboto"/>
        <w:color w:val="999999"/>
        <w:rtl w:val="0"/>
      </w:rPr>
      <w:t xml:space="preserve">Technology and Innovation Division</w:t>
      <w:tab/>
      <w:tab/>
      <w:tab/>
      <w:t xml:space="preserve">                                                         March, 2021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drawing>
        <wp:inline distB="114300" distT="114300" distL="114300" distR="114300">
          <wp:extent cx="6176963" cy="285750"/>
          <wp:effectExtent b="0" l="0" r="0" t="0"/>
          <wp:docPr id="3" name="image1.png"/>
          <a:graphic>
            <a:graphicData uri="http://schemas.openxmlformats.org/drawingml/2006/picture">
              <pic:pic>
                <pic:nvPicPr>
                  <pic:cNvPr id="0" name="image1.png"/>
                  <pic:cNvPicPr preferRelativeResize="0"/>
                </pic:nvPicPr>
                <pic:blipFill>
                  <a:blip r:embed="rId1"/>
                  <a:srcRect b="69883" l="0" r="0" t="0"/>
                  <a:stretch>
                    <a:fillRect/>
                  </a:stretch>
                </pic:blipFill>
                <pic:spPr>
                  <a:xfrm>
                    <a:off x="0" y="0"/>
                    <a:ext cx="6176963" cy="2857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2.png"/><Relationship Id="rId12" Type="http://schemas.openxmlformats.org/officeDocument/2006/relationships/footer" Target="footer1.xml"/><Relationship Id="rId9" Type="http://schemas.openxmlformats.org/officeDocument/2006/relationships/hyperlink" Target="https://community.canvaslms.com/docs/DOC-12935-415257077"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docs.google.com/document/d/1j6Cfc07cEjzAAHDGBoc_vRM9cXfjysc8WBu8A7p3GwM/edit?usp=sharing" TargetMode="External"/><Relationship Id="rId8" Type="http://schemas.openxmlformats.org/officeDocument/2006/relationships/hyperlink" Target="https://community.canvaslms.com/docs/DOC-12935-41525707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roximaNova-regular.ttf"/><Relationship Id="rId6" Type="http://schemas.openxmlformats.org/officeDocument/2006/relationships/font" Target="fonts/ProximaNova-bold.ttf"/><Relationship Id="rId7" Type="http://schemas.openxmlformats.org/officeDocument/2006/relationships/font" Target="fonts/ProximaNova-italic.ttf"/><Relationship Id="rId8" Type="http://schemas.openxmlformats.org/officeDocument/2006/relationships/font" Target="fonts/ProximaNov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