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29D67861" w:rsidR="00101F7E" w:rsidRPr="00852D38" w:rsidRDefault="0082237F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>Independent Employee’s</w:t>
      </w:r>
    </w:p>
    <w:p w14:paraId="769CAC53" w14:textId="2A300B4A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bookmarkStart w:id="0" w:name="_GoBack"/>
      <w:bookmarkEnd w:id="0"/>
      <w:r w:rsidR="006355F4" w:rsidRPr="00C87C53">
        <w:rPr>
          <w:rFonts w:eastAsiaTheme="majorEastAsia"/>
        </w:rPr>
        <w:t>year</w:t>
      </w:r>
      <w:r w:rsidR="00E04311" w:rsidRPr="00C87C53">
        <w:rPr>
          <w:rFonts w:eastAsiaTheme="majorEastAsia"/>
        </w:rPr>
        <w:t xml:space="preserve">. </w:t>
      </w:r>
      <w:r w:rsidR="0082237F" w:rsidRPr="00C87C53">
        <w:rPr>
          <w:rFonts w:eastAsiaTheme="majorEastAsia"/>
        </w:rPr>
        <w:t>Independent employee’s that are paid contractually are frontloaded up to 15 days per year.  Independent employees who are paid hourly or those contracted employee’s who are hired mid-year will accrue hours based on one hour earned for every 18 hours worked.</w:t>
      </w:r>
      <w:r w:rsidR="00E04311" w:rsidRPr="00E04311">
        <w:rPr>
          <w:rFonts w:eastAsiaTheme="majorEastAsia"/>
        </w:rPr>
        <w:t xml:space="preserve">  The first ten (10) days </w:t>
      </w:r>
      <w:r w:rsidR="0082237F">
        <w:rPr>
          <w:rFonts w:eastAsiaTheme="majorEastAsia"/>
        </w:rPr>
        <w:t xml:space="preserve">or (80) hours </w:t>
      </w:r>
      <w:r w:rsidR="00E04311" w:rsidRPr="00E04311">
        <w:rPr>
          <w:rFonts w:eastAsiaTheme="majorEastAsia"/>
        </w:rPr>
        <w:t>will be designated for ESST designated uses and family members. The remaining days</w:t>
      </w:r>
      <w:r w:rsidR="0082237F">
        <w:rPr>
          <w:rFonts w:eastAsiaTheme="majorEastAsia"/>
        </w:rPr>
        <w:t>/hours</w:t>
      </w:r>
      <w:r w:rsidR="00E04311" w:rsidRPr="00E04311">
        <w:rPr>
          <w:rFonts w:eastAsiaTheme="majorEastAsia"/>
        </w:rPr>
        <w:t xml:space="preserve"> will follow legacy sick leave uses and family members. 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6D272DFF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</w:t>
      </w:r>
      <w:r w:rsidR="006903CB">
        <w:rPr>
          <w:rFonts w:eastAsiaTheme="majorEastAsia"/>
        </w:rPr>
        <w:t>days/</w:t>
      </w:r>
      <w:r w:rsidRPr="00D70F03">
        <w:rPr>
          <w:rFonts w:eastAsiaTheme="majorEastAsia"/>
        </w:rPr>
        <w:t xml:space="preserve">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</w:t>
      </w:r>
      <w:r w:rsidR="006903CB">
        <w:rPr>
          <w:rFonts w:eastAsiaTheme="majorEastAsia"/>
        </w:rPr>
        <w:t xml:space="preserve"> daily/</w:t>
      </w:r>
      <w:r w:rsidR="0079713F" w:rsidRPr="00D70F03">
        <w:rPr>
          <w:rFonts w:eastAsiaTheme="majorEastAsia"/>
        </w:rPr>
        <w:t xml:space="preserve">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lastRenderedPageBreak/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6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377D1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3F5082"/>
    <w:rsid w:val="003F6438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03CB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237F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87C53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0D24"/>
    <w:rsid w:val="00E02F34"/>
    <w:rsid w:val="00E04311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C461F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56511-B070-43A5-A894-8B5B9AF39083}">
  <ds:schemaRefs>
    <ds:schemaRef ds:uri="f3e6d1fd-6296-4138-82b9-8fdc51f2b0d2"/>
    <ds:schemaRef ds:uri="http://schemas.microsoft.com/office/2006/metadata/properties"/>
    <ds:schemaRef ds:uri="18f67ff8-b67f-45ad-baed-ef2cc4d6940f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5A885C-E1F5-4919-8DC5-5CC33C1F416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18</TotalTime>
  <Pages>2</Pages>
  <Words>641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4</cp:revision>
  <cp:lastPrinted>2023-12-15T17:55:00Z</cp:lastPrinted>
  <dcterms:created xsi:type="dcterms:W3CDTF">2023-12-14T20:15:00Z</dcterms:created>
  <dcterms:modified xsi:type="dcterms:W3CDTF">2023-12-15T17:57:00Z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