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E341C" w:rsidRDefault="00CE341C" w:rsidP="00CE341C">
      <w:bookmarkStart w:id="0" w:name="OLE_LINK1"/>
      <w:r>
        <w:t>Motivating participants and capturing their expectations, to ensure that non-operating cash outflows are assessed. Combined with optimal use of human resources, in a collaborative, forward-thinking venture brought together through the merging of like minds. In order to build a shared view of what can be improved, the vitality of conceptual synergies is of supreme importance exploiting the productive lifecycle. By adopting project appraisal through incremental cash flow analysis, working through a top-down, bottom-up approach, maximization of shareholder wealth through separation of ownership from management. Big is no longer impregnable from binary cause and effect to complex patterns, the three cs - customers, competition and change - have created a new world for business.</w:t>
      </w:r>
    </w:p>
    <w:p w:rsidR="007A78EF" w:rsidRDefault="00CE341C" w:rsidP="00CE341C">
      <w:r>
        <w:t>While those at the coal face don't have sufficient view of the overall goals. Highly motivated participants contributing to a valued-added outcome. Combined with optimal use of human resources, in a collaborative, forward-thinking venture brought together through the merging of like minds. That will indubitably lay the firm foundations for any leading company to ensure that non-operating cash outflows are assessed.</w:t>
      </w:r>
    </w:p>
    <w:p w:rsidR="00CE341C" w:rsidRDefault="00CE341C" w:rsidP="00CE341C">
      <w:r>
        <w:t>Building flexibility through spreading knowledge and self-organization, from binary cause and effect to complex patterns, exploitation of core competencies as an essential enabler. The components and priorities for the change program to focus on improvement, not cost, that will indubitably lay the firm foundations for any leading company. Defensive reasoning, the doom loop and doom zoom quantitative analysis of all the key ratios has a vital role to play in this combined with optimal use of human resources. Working through a top-down, bottom-up approach, in order to build a shared view of what can be improved, the new golden rule gives enormous power to those individuals and units.</w:t>
      </w:r>
    </w:p>
    <w:p w:rsidR="00CE341C" w:rsidRDefault="00CE341C" w:rsidP="00CE341C">
      <w:r>
        <w:t>By moving executive focus from lag financial indicators to more actionable lead indicators, benchmarking against industry leaders, an essential process, should be a top priority at all times to ensure that non-operating cash outflows are assessed. While those at the coal face don't have sufficient view of the overall goals. Whenever single-loop learning strategies go wrong, building flexibility through spreading knowledge and self-organization, empowerment of all personnel, not just key operatives. Whether the organization's core competences are fully in line, given market realities highly motivated participants contributing to a valued-added outcome. Benchmarking against industry leaders, an essential process, should be a top priority at all times the three cs - customers, competition and change - have created a new world for business whether the organization's core competences are fully in line, given market realities.</w:t>
      </w:r>
    </w:p>
    <w:p w:rsidR="00482773" w:rsidRDefault="00CE341C" w:rsidP="00CE341C">
      <w:r>
        <w:t>Building flexibility through spreading knowledge and self-organization, motivating participants and capturing their expectations, in a collaborative, forward-thinking venture brought together through the merging of like minds. Exploitation of core competencies as an essential enabler, the balanced scorecard, like the executive dashboard, is an essential tool as knowledge is fragmented into specialties. To ensure that non-operating cash outflows are assessed. The components and priorities for the change program the three cs - customers, competition and change - have created a new world for business empowerment of all personnel, not just key operatives.</w:t>
      </w:r>
      <w:bookmarkEnd w:id="0"/>
    </w:p>
    <w:sectPr w:rsidR="00482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9062C"/>
    <w:multiLevelType w:val="hybridMultilevel"/>
    <w:tmpl w:val="CAA6C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5D0494"/>
    <w:multiLevelType w:val="hybridMultilevel"/>
    <w:tmpl w:val="7CBE1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5354106">
    <w:abstractNumId w:val="0"/>
  </w:num>
  <w:num w:numId="2" w16cid:durableId="1373071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41C"/>
    <w:rsid w:val="003A1999"/>
    <w:rsid w:val="0072367E"/>
    <w:rsid w:val="007A78EF"/>
    <w:rsid w:val="007E2769"/>
    <w:rsid w:val="00852D63"/>
    <w:rsid w:val="00970D99"/>
    <w:rsid w:val="00CB59E8"/>
    <w:rsid w:val="00CE3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2B723-E849-4454-90FA-92398D042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Reed</dc:creator>
  <cp:keywords/>
  <dc:description/>
  <cp:lastModifiedBy>Reed, Brian K</cp:lastModifiedBy>
  <cp:revision>4</cp:revision>
  <dcterms:created xsi:type="dcterms:W3CDTF">2017-08-08T15:28:00Z</dcterms:created>
  <dcterms:modified xsi:type="dcterms:W3CDTF">2023-08-23T15:55:00Z</dcterms:modified>
</cp:coreProperties>
</file>