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045DA" w14:textId="07F44FDE" w:rsidR="00FF4B40" w:rsidRDefault="00A07A2E">
      <w:pPr>
        <w:pStyle w:val="Title"/>
      </w:pPr>
      <w:proofErr w:type="spellStart"/>
      <w:r>
        <w:t>Vermontas</w:t>
      </w:r>
      <w:proofErr w:type="spellEnd"/>
      <w:r>
        <w:t xml:space="preserve"> </w:t>
      </w:r>
      <w:proofErr w:type="spellStart"/>
      <w:r>
        <w:t>nepārtrauktās</w:t>
      </w:r>
      <w:proofErr w:type="spellEnd"/>
      <w:r>
        <w:t xml:space="preserve"> </w:t>
      </w:r>
      <w:proofErr w:type="spellStart"/>
      <w:r>
        <w:t>uzlabošanas</w:t>
      </w:r>
      <w:proofErr w:type="spellEnd"/>
      <w:r>
        <w:t xml:space="preserve"> </w:t>
      </w:r>
      <w:proofErr w:type="spellStart"/>
      <w:r>
        <w:t>plāns</w:t>
      </w:r>
      <w:proofErr w:type="spellEnd"/>
    </w:p>
    <w:p w14:paraId="1724B402" w14:textId="77777777" w:rsidR="00FF4B40" w:rsidRDefault="00A07A2E">
      <w:pPr>
        <w:pStyle w:val="Heading1"/>
      </w:pPr>
      <w:r>
        <w:t>LEA: Džonsona pamatskolas pamatskola</w:t>
      </w:r>
    </w:p>
    <w:p w14:paraId="761A7535" w14:textId="77777777" w:rsidR="00FF4B40" w:rsidRDefault="00A07A2E">
      <w:r>
        <w:t>LEA nepārtrauktās uzlabošanas plāns Kontaktvārds: Deivids Mannings , 2024-2026</w:t>
      </w:r>
    </w:p>
    <w:p w14:paraId="700F7334" w14:textId="77777777" w:rsidR="00FF4B40" w:rsidRDefault="00FF4B40"/>
    <w:p w14:paraId="1BC382F6" w14:textId="77777777" w:rsidR="00FF4B40" w:rsidRDefault="00A07A2E">
      <w:pPr>
        <w:rPr>
          <w:rFonts w:ascii="Libre Franklin" w:eastAsia="Libre Franklin" w:hAnsi="Libre Franklin" w:cs="Libre Franklin"/>
          <w:sz w:val="28"/>
          <w:szCs w:val="28"/>
        </w:rPr>
      </w:pPr>
      <w:r>
        <w:rPr>
          <w:rFonts w:ascii="Libre Franklin" w:eastAsia="Libre Franklin" w:hAnsi="Libre Franklin" w:cs="Libre Franklin"/>
          <w:sz w:val="28"/>
          <w:szCs w:val="28"/>
        </w:rPr>
        <w:t>LEA nepārtrauktas uzlabošanas plāna kontakta e-pasts: dmanning@jesvt.org</w:t>
      </w:r>
    </w:p>
    <w:p w14:paraId="3683CE97" w14:textId="77777777" w:rsidR="00FF4B40" w:rsidRDefault="00FF4B40"/>
    <w:p w14:paraId="79994BAC" w14:textId="77777777" w:rsidR="00FF4B40" w:rsidRDefault="00A07A2E">
      <w:pPr>
        <w:pBdr>
          <w:top w:val="nil"/>
          <w:left w:val="nil"/>
          <w:bottom w:val="nil"/>
          <w:right w:val="nil"/>
          <w:between w:val="nil"/>
        </w:pBdr>
        <w:jc w:val="both"/>
        <w:rPr>
          <w:i/>
        </w:rPr>
      </w:pPr>
      <w:r>
        <w:rPr>
          <w:rFonts w:ascii="Libre Franklin" w:eastAsia="Libre Franklin" w:hAnsi="Libre Franklin" w:cs="Libre Franklin"/>
          <w:color w:val="000000"/>
          <w:sz w:val="28"/>
          <w:szCs w:val="28"/>
        </w:rPr>
        <w:t xml:space="preserve">Pārstāvētās sadarbības ieinteresētās personas: </w:t>
      </w:r>
      <w:r>
        <w:rPr>
          <w:color w:val="000000"/>
        </w:rPr>
        <w:t xml:space="preserve">Uzskaitiet nepārtrauktas uzlabošanas plāna izstrādē iesaistīto pārstāvju ieinteresēto personu vārdus un lomas (piemēram, skolas padomes locekļi, skolēni, vecāki, skolotāji, administratori, CTE partneri, garīgās veselības aģentūru pārstāvji un citi kopienas locekļi). Centieties nodrošināt, ka dažādas balsis ir daļa no plānošanas procesa. </w:t>
      </w:r>
    </w:p>
    <w:p w14:paraId="08F8F701" w14:textId="77777777" w:rsidR="00FF4B40" w:rsidRDefault="00FF4B40">
      <w:pPr>
        <w:pBdr>
          <w:top w:val="nil"/>
          <w:left w:val="nil"/>
          <w:bottom w:val="nil"/>
          <w:right w:val="nil"/>
          <w:between w:val="nil"/>
        </w:pBdr>
        <w:jc w:val="both"/>
        <w:rPr>
          <w:i/>
          <w:color w:val="000000"/>
        </w:rPr>
      </w:pPr>
    </w:p>
    <w:p w14:paraId="52289C08" w14:textId="77777777" w:rsidR="00FF4B40" w:rsidRDefault="00FF4B40">
      <w:pPr>
        <w:pBdr>
          <w:top w:val="nil"/>
          <w:left w:val="nil"/>
          <w:bottom w:val="nil"/>
          <w:right w:val="nil"/>
          <w:between w:val="nil"/>
        </w:pBdr>
        <w:jc w:val="both"/>
        <w:rPr>
          <w:color w:val="000000"/>
        </w:rPr>
      </w:pPr>
    </w:p>
    <w:p w14:paraId="7AF6C15C" w14:textId="77777777" w:rsidR="00FF4B40" w:rsidRDefault="00A07A2E">
      <w:r>
        <w:t xml:space="preserve">Visiem darbiniekiem 2024. gada 28. martā tika dota iespēja pārskatīt šo dokumentu.  Daudzas komandas sniedza ieguldījumu plānā, lai atbalstītu mērķus un ieteiktu izmaiņas, izmantojot komandās veikto datu inventarizācijas darbu.  </w:t>
      </w:r>
      <w:r>
        <w:br w:type="page"/>
      </w:r>
    </w:p>
    <w:p w14:paraId="6764DA2F" w14:textId="77777777" w:rsidR="00FF4B40" w:rsidRDefault="00A07A2E">
      <w:pPr>
        <w:pStyle w:val="Heading1"/>
      </w:pPr>
      <w:r>
        <w:t xml:space="preserve">Nepārtrauktas uzlabošanas plāna izstrāde </w:t>
      </w:r>
    </w:p>
    <w:p w14:paraId="23132F58" w14:textId="77777777" w:rsidR="00FF4B40" w:rsidRDefault="00A07A2E">
      <w:pPr>
        <w:numPr>
          <w:ilvl w:val="0"/>
          <w:numId w:val="2"/>
        </w:numPr>
        <w:pBdr>
          <w:top w:val="nil"/>
          <w:left w:val="nil"/>
          <w:bottom w:val="nil"/>
          <w:right w:val="nil"/>
          <w:between w:val="nil"/>
        </w:pBdr>
        <w:spacing w:line="252" w:lineRule="auto"/>
        <w:rPr>
          <w:color w:val="000000"/>
        </w:rPr>
      </w:pPr>
      <w:r>
        <w:rPr>
          <w:color w:val="000000"/>
        </w:rPr>
        <w:t xml:space="preserve">Uzskaitiet prioritāros mērķus, stratēģijas, pasākumus un resursus, lai atbalstītu īstenošanu, pamatojoties uz </w:t>
      </w:r>
      <w:hyperlink r:id="rId8">
        <w:r>
          <w:rPr>
            <w:color w:val="0000FF"/>
            <w:u w:val="single"/>
          </w:rPr>
          <w:t>visaptverošo vajadzību</w:t>
        </w:r>
      </w:hyperlink>
      <w:r>
        <w:rPr>
          <w:color w:val="0000FF"/>
          <w:u w:val="single"/>
        </w:rPr>
        <w:t xml:space="preserve"> </w:t>
      </w:r>
      <w:r>
        <w:rPr>
          <w:color w:val="000000"/>
        </w:rPr>
        <w:t xml:space="preserve">novērtējumu un </w:t>
      </w:r>
      <w:hyperlink r:id="rId9">
        <w:r>
          <w:rPr>
            <w:color w:val="0000FF"/>
            <w:u w:val="single"/>
          </w:rPr>
          <w:t>datu inventarizāciju</w:t>
        </w:r>
      </w:hyperlink>
    </w:p>
    <w:p w14:paraId="320BF685" w14:textId="77777777" w:rsidR="00FF4B40" w:rsidRDefault="00A07A2E">
      <w:pPr>
        <w:numPr>
          <w:ilvl w:val="0"/>
          <w:numId w:val="2"/>
        </w:numPr>
        <w:pBdr>
          <w:top w:val="nil"/>
          <w:left w:val="nil"/>
          <w:bottom w:val="nil"/>
          <w:right w:val="nil"/>
          <w:between w:val="nil"/>
        </w:pBdr>
        <w:spacing w:line="252" w:lineRule="auto"/>
      </w:pPr>
      <w:r>
        <w:rPr>
          <w:color w:val="000000"/>
        </w:rPr>
        <w:t xml:space="preserve">Jums ir jābūt vismaz vienam drošu un veselīgu skolu mērķim un vienam akadēmisko sasniegumu mērķim. Varat noteikt papildu mērķus, taču ieteicams ir ierobežot savus CIP mērķus līdz pārvaldāmam skaitam, lai to īstenotu un izmērītu. </w:t>
      </w:r>
    </w:p>
    <w:p w14:paraId="0FFD24F6" w14:textId="77777777" w:rsidR="00FF4B40" w:rsidRDefault="00A07A2E">
      <w:pPr>
        <w:numPr>
          <w:ilvl w:val="0"/>
          <w:numId w:val="2"/>
        </w:numPr>
        <w:pBdr>
          <w:top w:val="nil"/>
          <w:left w:val="nil"/>
          <w:bottom w:val="nil"/>
          <w:right w:val="nil"/>
          <w:between w:val="nil"/>
        </w:pBdr>
        <w:spacing w:after="200" w:line="252" w:lineRule="auto"/>
      </w:pPr>
      <w:bookmarkStart w:id="0" w:name="_heading=h.gjdgxs" w:colFirst="0" w:colLast="0"/>
      <w:bookmarkEnd w:id="0"/>
      <w:r>
        <w:rPr>
          <w:color w:val="000000"/>
        </w:rPr>
        <w:t>Šajā darbā var būt noderīgi</w:t>
      </w:r>
      <w:hyperlink r:id="rId10">
        <w:r>
          <w:rPr>
            <w:color w:val="0000FF"/>
            <w:u w:val="single"/>
          </w:rPr>
          <w:t xml:space="preserve"> analītiskie rīki no </w:t>
        </w:r>
      </w:hyperlink>
      <w:r>
        <w:rPr>
          <w:color w:val="000000"/>
        </w:rPr>
        <w:t xml:space="preserve">visaptverošā skolu </w:t>
      </w:r>
      <w:proofErr w:type="spellStart"/>
      <w:r>
        <w:rPr>
          <w:color w:val="000000"/>
        </w:rPr>
        <w:t>uzlabošanas</w:t>
      </w:r>
      <w:proofErr w:type="spellEnd"/>
      <w:r>
        <w:rPr>
          <w:color w:val="000000"/>
        </w:rPr>
        <w:t xml:space="preserve"> </w:t>
      </w:r>
      <w:proofErr w:type="spellStart"/>
      <w:r>
        <w:rPr>
          <w:color w:val="000000"/>
        </w:rPr>
        <w:t>rīkkopas</w:t>
      </w:r>
      <w:proofErr w:type="spellEnd"/>
      <w:r>
        <w:fldChar w:fldCharType="begin"/>
      </w:r>
      <w:r>
        <w:instrText>HYPERLINK "https://education.vermont.gov/student-support/vermont-multi-tiered-system-of-supports/vtmtss-framework-tools" \h</w:instrText>
      </w:r>
      <w:r>
        <w:fldChar w:fldCharType="separate"/>
      </w:r>
      <w:r>
        <w:rPr>
          <w:color w:val="0000FF"/>
          <w:u w:val="single"/>
        </w:rPr>
        <w:t xml:space="preserve"> un </w:t>
      </w:r>
      <w:r>
        <w:fldChar w:fldCharType="end"/>
      </w:r>
      <w:proofErr w:type="spellStart"/>
      <w:r>
        <w:rPr>
          <w:color w:val="000000"/>
        </w:rPr>
        <w:t>VTmtss</w:t>
      </w:r>
      <w:proofErr w:type="spellEnd"/>
      <w:r>
        <w:rPr>
          <w:color w:val="000000"/>
        </w:rPr>
        <w:t xml:space="preserve"> </w:t>
      </w:r>
      <w:proofErr w:type="spellStart"/>
      <w:r>
        <w:rPr>
          <w:color w:val="000000"/>
        </w:rPr>
        <w:t>ietvara</w:t>
      </w:r>
      <w:proofErr w:type="spellEnd"/>
      <w:r>
        <w:rPr>
          <w:color w:val="000000"/>
        </w:rPr>
        <w:t xml:space="preserve"> </w:t>
      </w:r>
      <w:proofErr w:type="spellStart"/>
      <w:r>
        <w:rPr>
          <w:color w:val="000000"/>
        </w:rPr>
        <w:t>rīku</w:t>
      </w:r>
      <w:proofErr w:type="spellEnd"/>
    </w:p>
    <w:tbl>
      <w:tblPr>
        <w:tblStyle w:val="af6"/>
        <w:tblW w:w="14385" w:type="dxa"/>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75"/>
        <w:gridCol w:w="3300"/>
        <w:gridCol w:w="3870"/>
        <w:gridCol w:w="2970"/>
        <w:gridCol w:w="2670"/>
      </w:tblGrid>
      <w:tr w:rsidR="00FF4B40" w14:paraId="6F548FE1" w14:textId="77777777">
        <w:trPr>
          <w:tblHeader/>
        </w:trPr>
        <w:tc>
          <w:tcPr>
            <w:tcW w:w="1575" w:type="dxa"/>
            <w:tcBorders>
              <w:bottom w:val="single" w:sz="4" w:space="0" w:color="000000"/>
            </w:tcBorders>
            <w:shd w:val="clear" w:color="auto" w:fill="BFBFBF"/>
          </w:tcPr>
          <w:p w14:paraId="7D7FA045" w14:textId="77777777" w:rsidR="00FF4B40" w:rsidRDefault="00A07A2E">
            <w:pPr>
              <w:jc w:val="center"/>
              <w:rPr>
                <w:b/>
                <w:sz w:val="20"/>
                <w:szCs w:val="20"/>
              </w:rPr>
            </w:pPr>
            <w:r>
              <w:rPr>
                <w:b/>
                <w:sz w:val="20"/>
                <w:szCs w:val="20"/>
              </w:rPr>
              <w:t>Nepieciešamais komponents</w:t>
            </w:r>
          </w:p>
        </w:tc>
        <w:tc>
          <w:tcPr>
            <w:tcW w:w="3300" w:type="dxa"/>
            <w:tcBorders>
              <w:bottom w:val="single" w:sz="4" w:space="0" w:color="000000"/>
            </w:tcBorders>
            <w:shd w:val="clear" w:color="auto" w:fill="BFBFBF"/>
            <w:vAlign w:val="center"/>
          </w:tcPr>
          <w:p w14:paraId="24346C08" w14:textId="77777777" w:rsidR="00FF4B40" w:rsidRDefault="00A07A2E">
            <w:pPr>
              <w:jc w:val="center"/>
              <w:rPr>
                <w:b/>
                <w:sz w:val="20"/>
                <w:szCs w:val="20"/>
              </w:rPr>
            </w:pPr>
            <w:r>
              <w:rPr>
                <w:b/>
                <w:sz w:val="20"/>
                <w:szCs w:val="20"/>
              </w:rPr>
              <w:t xml:space="preserve">Prioritārais SU/SD mērķis </w:t>
            </w:r>
          </w:p>
        </w:tc>
        <w:tc>
          <w:tcPr>
            <w:tcW w:w="3870" w:type="dxa"/>
            <w:tcBorders>
              <w:bottom w:val="single" w:sz="4" w:space="0" w:color="000000"/>
            </w:tcBorders>
            <w:shd w:val="clear" w:color="auto" w:fill="BFBFBF"/>
            <w:vAlign w:val="center"/>
          </w:tcPr>
          <w:p w14:paraId="0A213737" w14:textId="77777777" w:rsidR="00FF4B40" w:rsidRDefault="00A07A2E">
            <w:pPr>
              <w:jc w:val="center"/>
              <w:rPr>
                <w:b/>
                <w:sz w:val="20"/>
                <w:szCs w:val="20"/>
              </w:rPr>
            </w:pPr>
            <w:r>
              <w:rPr>
                <w:b/>
                <w:sz w:val="20"/>
                <w:szCs w:val="20"/>
              </w:rPr>
              <w:t>Prioritārās stratēģijas / izmaiņu idejas</w:t>
            </w:r>
          </w:p>
        </w:tc>
        <w:tc>
          <w:tcPr>
            <w:tcW w:w="2970" w:type="dxa"/>
            <w:tcBorders>
              <w:bottom w:val="single" w:sz="4" w:space="0" w:color="000000"/>
            </w:tcBorders>
            <w:shd w:val="clear" w:color="auto" w:fill="BFBFBF"/>
            <w:vAlign w:val="center"/>
          </w:tcPr>
          <w:p w14:paraId="374FF752" w14:textId="77777777" w:rsidR="00FF4B40" w:rsidRDefault="00A07A2E">
            <w:pPr>
              <w:jc w:val="center"/>
              <w:rPr>
                <w:b/>
                <w:sz w:val="20"/>
                <w:szCs w:val="20"/>
              </w:rPr>
            </w:pPr>
            <w:r>
              <w:rPr>
                <w:b/>
                <w:sz w:val="20"/>
                <w:szCs w:val="20"/>
              </w:rPr>
              <w:t xml:space="preserve">Pasākumi </w:t>
            </w:r>
          </w:p>
        </w:tc>
        <w:tc>
          <w:tcPr>
            <w:tcW w:w="2670" w:type="dxa"/>
            <w:tcBorders>
              <w:bottom w:val="single" w:sz="4" w:space="0" w:color="000000"/>
            </w:tcBorders>
            <w:shd w:val="clear" w:color="auto" w:fill="BFBFBF"/>
            <w:vAlign w:val="center"/>
          </w:tcPr>
          <w:p w14:paraId="11CFE36D" w14:textId="77777777" w:rsidR="00FF4B40" w:rsidRDefault="00A07A2E">
            <w:pPr>
              <w:jc w:val="center"/>
              <w:rPr>
                <w:b/>
                <w:sz w:val="20"/>
                <w:szCs w:val="20"/>
              </w:rPr>
            </w:pPr>
            <w:r>
              <w:rPr>
                <w:b/>
                <w:sz w:val="20"/>
                <w:szCs w:val="20"/>
              </w:rPr>
              <w:t>Cilvēkresursi, materiālie un fiskālie resursi, kas atbalsta īstenošanu</w:t>
            </w:r>
          </w:p>
        </w:tc>
      </w:tr>
      <w:tr w:rsidR="00FF4B40" w14:paraId="7ACB1093" w14:textId="77777777">
        <w:trPr>
          <w:trHeight w:val="1151"/>
        </w:trPr>
        <w:tc>
          <w:tcPr>
            <w:tcW w:w="1575" w:type="dxa"/>
            <w:tcBorders>
              <w:top w:val="single" w:sz="4" w:space="0" w:color="000000"/>
              <w:left w:val="single" w:sz="4" w:space="0" w:color="000000"/>
              <w:bottom w:val="single" w:sz="4" w:space="0" w:color="000000"/>
              <w:right w:val="single" w:sz="4" w:space="0" w:color="000000"/>
            </w:tcBorders>
            <w:vAlign w:val="center"/>
          </w:tcPr>
          <w:p w14:paraId="1A20AF4A" w14:textId="77777777" w:rsidR="00FF4B40" w:rsidRDefault="00A07A2E">
            <w:pPr>
              <w:rPr>
                <w:b/>
                <w:sz w:val="20"/>
                <w:szCs w:val="20"/>
              </w:rPr>
            </w:pPr>
            <w:r>
              <w:rPr>
                <w:b/>
              </w:rPr>
              <w:t xml:space="preserve">Drošas un veselīgas skolas </w:t>
            </w:r>
          </w:p>
        </w:tc>
        <w:tc>
          <w:tcPr>
            <w:tcW w:w="3300" w:type="dxa"/>
            <w:tcBorders>
              <w:top w:val="single" w:sz="4" w:space="0" w:color="000000"/>
              <w:left w:val="single" w:sz="4" w:space="0" w:color="000000"/>
              <w:bottom w:val="single" w:sz="4" w:space="0" w:color="000000"/>
              <w:right w:val="single" w:sz="4" w:space="0" w:color="000000"/>
            </w:tcBorders>
            <w:vAlign w:val="center"/>
          </w:tcPr>
          <w:p w14:paraId="72F169CB" w14:textId="77777777" w:rsidR="00FF4B40" w:rsidRDefault="00A07A2E">
            <w:r>
              <w:t>Lai palīdzētu studentiem un pieaugušajiem attīstīties emocionālo regulēšanā, uz traumām balstītu praksi, kultūras aizspriedumiem un atjaunojošu praksi, kas palīdzēs mums stiprināt mūsu attiecības vienam ar otru un ļaus mums visiem atrasties optimālā mācīšanas un mācīšanās zonā</w:t>
            </w:r>
          </w:p>
        </w:tc>
        <w:tc>
          <w:tcPr>
            <w:tcW w:w="3870" w:type="dxa"/>
            <w:tcBorders>
              <w:top w:val="single" w:sz="4" w:space="0" w:color="000000"/>
              <w:left w:val="single" w:sz="4" w:space="0" w:color="000000"/>
              <w:bottom w:val="single" w:sz="4" w:space="0" w:color="000000"/>
              <w:right w:val="single" w:sz="4" w:space="0" w:color="000000"/>
            </w:tcBorders>
            <w:vAlign w:val="center"/>
          </w:tcPr>
          <w:p w14:paraId="32748EA0" w14:textId="77777777" w:rsidR="00FF4B40" w:rsidRDefault="00A07A2E">
            <w:pPr>
              <w:numPr>
                <w:ilvl w:val="0"/>
                <w:numId w:val="7"/>
              </w:numPr>
              <w:pBdr>
                <w:top w:val="nil"/>
                <w:left w:val="nil"/>
                <w:bottom w:val="nil"/>
                <w:right w:val="nil"/>
                <w:between w:val="nil"/>
              </w:pBdr>
              <w:ind w:left="451"/>
            </w:pPr>
            <w:r>
              <w:rPr>
                <w:rFonts w:ascii="Calibri" w:eastAsia="Calibri" w:hAnsi="Calibri" w:cs="Calibri"/>
                <w:color w:val="000000"/>
              </w:rPr>
              <w:t>Mēs turpināsim strādāt ar Marku Skotu no Lamoille atjaunojošā centra, lai attīstītu mūsu atjaunojošo praksi visā skolā (darbiniekiem un studentiem). Šis darbs ietvers arī runāt par aizspriedumiem un konfliktiem ar darbiniekiem un studentiem.</w:t>
            </w:r>
          </w:p>
          <w:p w14:paraId="3C906FF5" w14:textId="77777777" w:rsidR="00FF4B40" w:rsidRDefault="00A07A2E">
            <w:pPr>
              <w:numPr>
                <w:ilvl w:val="0"/>
                <w:numId w:val="7"/>
              </w:numPr>
              <w:pBdr>
                <w:top w:val="nil"/>
                <w:left w:val="nil"/>
                <w:bottom w:val="nil"/>
                <w:right w:val="nil"/>
                <w:between w:val="nil"/>
              </w:pBdr>
              <w:ind w:left="451"/>
            </w:pPr>
            <w:r>
              <w:rPr>
                <w:rFonts w:ascii="Calibri" w:eastAsia="Calibri" w:hAnsi="Calibri" w:cs="Calibri"/>
                <w:color w:val="000000"/>
              </w:rPr>
              <w:t>Ieviesiet atsaucīgās klases praksi visās klasēs</w:t>
            </w:r>
          </w:p>
          <w:p w14:paraId="0C23F00F" w14:textId="77777777" w:rsidR="00FF4B40" w:rsidRDefault="00A07A2E">
            <w:pPr>
              <w:numPr>
                <w:ilvl w:val="0"/>
                <w:numId w:val="7"/>
              </w:numPr>
              <w:pBdr>
                <w:top w:val="nil"/>
                <w:left w:val="nil"/>
                <w:bottom w:val="nil"/>
                <w:right w:val="nil"/>
                <w:between w:val="nil"/>
              </w:pBdr>
              <w:ind w:left="451"/>
            </w:pPr>
            <w:r>
              <w:rPr>
                <w:rFonts w:ascii="Calibri" w:eastAsia="Calibri" w:hAnsi="Calibri" w:cs="Calibri"/>
                <w:color w:val="000000"/>
              </w:rPr>
              <w:t>Mēs turpināsim izmantot un stiprināt mūsu PBIS sistēmas un nodrošināsim apmācību jauniem darbiniekiem</w:t>
            </w:r>
          </w:p>
          <w:p w14:paraId="59BD320F" w14:textId="77777777" w:rsidR="00FF4B40" w:rsidRDefault="00A07A2E">
            <w:pPr>
              <w:numPr>
                <w:ilvl w:val="0"/>
                <w:numId w:val="7"/>
              </w:numPr>
              <w:pBdr>
                <w:top w:val="nil"/>
                <w:left w:val="nil"/>
                <w:bottom w:val="nil"/>
                <w:right w:val="nil"/>
                <w:between w:val="nil"/>
              </w:pBdr>
              <w:ind w:left="451"/>
            </w:pPr>
            <w:r>
              <w:rPr>
                <w:rFonts w:ascii="Calibri" w:eastAsia="Calibri" w:hAnsi="Calibri" w:cs="Calibri"/>
                <w:color w:val="000000"/>
              </w:rPr>
              <w:t>Pārskatīt un ieviest jaunu mācību programmu, ko skolas konsultants var izmantot klasēs attiecībā uz iebiedēšanas novēršanu</w:t>
            </w:r>
          </w:p>
          <w:p w14:paraId="4A3655A5" w14:textId="77777777" w:rsidR="00FF4B40" w:rsidRDefault="00A07A2E">
            <w:pPr>
              <w:numPr>
                <w:ilvl w:val="0"/>
                <w:numId w:val="7"/>
              </w:numPr>
              <w:pBdr>
                <w:top w:val="nil"/>
                <w:left w:val="nil"/>
                <w:bottom w:val="nil"/>
                <w:right w:val="nil"/>
                <w:between w:val="nil"/>
              </w:pBdr>
              <w:ind w:left="451"/>
            </w:pPr>
            <w:r>
              <w:rPr>
                <w:rFonts w:ascii="Calibri" w:eastAsia="Calibri" w:hAnsi="Calibri" w:cs="Calibri"/>
                <w:color w:val="000000"/>
              </w:rPr>
              <w:t>Izpētīt un ieviest SEL skrīninga rīku visiem studentiem</w:t>
            </w:r>
          </w:p>
          <w:p w14:paraId="21807FDF" w14:textId="77777777" w:rsidR="00FF4B40" w:rsidRDefault="00A07A2E">
            <w:pPr>
              <w:numPr>
                <w:ilvl w:val="0"/>
                <w:numId w:val="7"/>
              </w:numPr>
              <w:pBdr>
                <w:top w:val="nil"/>
                <w:left w:val="nil"/>
                <w:bottom w:val="nil"/>
                <w:right w:val="nil"/>
                <w:between w:val="nil"/>
              </w:pBdr>
              <w:ind w:left="451"/>
            </w:pPr>
            <w:r>
              <w:rPr>
                <w:rFonts w:ascii="Calibri" w:eastAsia="Calibri" w:hAnsi="Calibri" w:cs="Calibri"/>
              </w:rPr>
              <w:t xml:space="preserve">Pilnveidojiet MTSS akadēmiskās un </w:t>
            </w:r>
            <w:r>
              <w:rPr>
                <w:rFonts w:ascii="Calibri" w:eastAsia="Calibri" w:hAnsi="Calibri" w:cs="Calibri"/>
              </w:rPr>
              <w:lastRenderedPageBreak/>
              <w:t>uzvedības sistēmas, lai 1.-3. līmenis konsekventi plūstu starp abām pusēm</w:t>
            </w:r>
          </w:p>
          <w:p w14:paraId="59B65B30" w14:textId="77777777" w:rsidR="00FF4B40" w:rsidRDefault="00FF4B40"/>
        </w:tc>
        <w:tc>
          <w:tcPr>
            <w:tcW w:w="2970" w:type="dxa"/>
            <w:tcBorders>
              <w:top w:val="single" w:sz="4" w:space="0" w:color="000000"/>
              <w:left w:val="single" w:sz="4" w:space="0" w:color="000000"/>
              <w:bottom w:val="single" w:sz="4" w:space="0" w:color="000000"/>
              <w:right w:val="single" w:sz="4" w:space="0" w:color="000000"/>
            </w:tcBorders>
            <w:vAlign w:val="center"/>
          </w:tcPr>
          <w:p w14:paraId="43D51DB9" w14:textId="77777777" w:rsidR="00FF4B40" w:rsidRDefault="00A07A2E">
            <w:pPr>
              <w:numPr>
                <w:ilvl w:val="0"/>
                <w:numId w:val="8"/>
              </w:numPr>
              <w:pBdr>
                <w:top w:val="nil"/>
                <w:left w:val="nil"/>
                <w:bottom w:val="nil"/>
                <w:right w:val="nil"/>
                <w:between w:val="nil"/>
              </w:pBdr>
              <w:ind w:left="360"/>
            </w:pPr>
            <w:r>
              <w:rPr>
                <w:rFonts w:ascii="Calibri" w:eastAsia="Calibri" w:hAnsi="Calibri" w:cs="Calibri"/>
                <w:color w:val="000000"/>
              </w:rPr>
              <w:lastRenderedPageBreak/>
              <w:t>Līdz 2025. gada jūnijam par 10% samazinājums biroja nosūtījumiem par agresiju, iebiedēšanu un klases traucējumiem</w:t>
            </w:r>
          </w:p>
          <w:p w14:paraId="61E22184" w14:textId="77777777" w:rsidR="00FF4B40" w:rsidRDefault="00A07A2E">
            <w:pPr>
              <w:numPr>
                <w:ilvl w:val="0"/>
                <w:numId w:val="8"/>
              </w:numPr>
              <w:pBdr>
                <w:top w:val="nil"/>
                <w:left w:val="nil"/>
                <w:bottom w:val="nil"/>
                <w:right w:val="nil"/>
                <w:between w:val="nil"/>
              </w:pBdr>
              <w:ind w:left="360"/>
            </w:pPr>
            <w:r>
              <w:rPr>
                <w:rFonts w:ascii="Calibri" w:eastAsia="Calibri" w:hAnsi="Calibri" w:cs="Calibri"/>
                <w:color w:val="000000"/>
              </w:rPr>
              <w:t>Līdz 2026. gada jūnijam tiks ieviesta pilnībā izstrādāta II līmeņa atjaunojošās prakses sistēma, ko mēra pēc SSC datiem</w:t>
            </w:r>
            <w:r>
              <w:rPr>
                <w:rFonts w:ascii="Calibri" w:eastAsia="Calibri" w:hAnsi="Calibri" w:cs="Calibri"/>
              </w:rPr>
              <w:t xml:space="preserve"> un LRC</w:t>
            </w:r>
          </w:p>
          <w:p w14:paraId="3B2CA097" w14:textId="77777777" w:rsidR="00FF4B40" w:rsidRDefault="00A07A2E">
            <w:pPr>
              <w:numPr>
                <w:ilvl w:val="0"/>
                <w:numId w:val="8"/>
              </w:numPr>
              <w:pBdr>
                <w:top w:val="nil"/>
                <w:left w:val="nil"/>
                <w:bottom w:val="nil"/>
                <w:right w:val="nil"/>
                <w:between w:val="nil"/>
              </w:pBdr>
              <w:ind w:left="360"/>
            </w:pPr>
            <w:r>
              <w:rPr>
                <w:rFonts w:ascii="Calibri" w:eastAsia="Calibri" w:hAnsi="Calibri" w:cs="Calibri"/>
                <w:color w:val="000000"/>
              </w:rPr>
              <w:t>Atsaucīgas klases iedvesmotas rīta sanāksmes, kas notiks katrā klasē līdz 2025. gada jūnijam</w:t>
            </w:r>
          </w:p>
          <w:p w14:paraId="3A19A051" w14:textId="77777777" w:rsidR="00FF4B40" w:rsidRDefault="00A07A2E">
            <w:pPr>
              <w:numPr>
                <w:ilvl w:val="0"/>
                <w:numId w:val="8"/>
              </w:numPr>
              <w:pBdr>
                <w:top w:val="nil"/>
                <w:left w:val="nil"/>
                <w:bottom w:val="nil"/>
                <w:right w:val="nil"/>
                <w:between w:val="nil"/>
              </w:pBdr>
              <w:ind w:left="360"/>
            </w:pPr>
            <w:r>
              <w:rPr>
                <w:rFonts w:ascii="Calibri" w:eastAsia="Calibri" w:hAnsi="Calibri" w:cs="Calibri"/>
                <w:color w:val="000000"/>
              </w:rPr>
              <w:t xml:space="preserve">Tiks ieviesta stingra sistēma, lai identificētu studentus, kuriem nepieciešams lielāks SEL atbalsts - pētniecības </w:t>
            </w:r>
            <w:r>
              <w:rPr>
                <w:rFonts w:ascii="Calibri" w:eastAsia="Calibri" w:hAnsi="Calibri" w:cs="Calibri"/>
                <w:color w:val="000000"/>
              </w:rPr>
              <w:lastRenderedPageBreak/>
              <w:t>universālie skrīningi</w:t>
            </w:r>
          </w:p>
          <w:p w14:paraId="042806A4" w14:textId="77777777" w:rsidR="00FF4B40" w:rsidRDefault="00A07A2E">
            <w:pPr>
              <w:numPr>
                <w:ilvl w:val="0"/>
                <w:numId w:val="8"/>
              </w:numPr>
              <w:pBdr>
                <w:top w:val="nil"/>
                <w:left w:val="nil"/>
                <w:bottom w:val="nil"/>
                <w:right w:val="nil"/>
                <w:between w:val="nil"/>
              </w:pBdr>
              <w:ind w:left="360"/>
              <w:rPr>
                <w:rFonts w:ascii="Calibri" w:eastAsia="Calibri" w:hAnsi="Calibri" w:cs="Calibri"/>
              </w:rPr>
            </w:pPr>
            <w:r>
              <w:rPr>
                <w:rFonts w:ascii="Calibri" w:eastAsia="Calibri" w:hAnsi="Calibri" w:cs="Calibri"/>
              </w:rPr>
              <w:t>Veiksmīga CICO sistēma līdz 2025. gada jūnijam</w:t>
            </w:r>
          </w:p>
          <w:p w14:paraId="0E93726F" w14:textId="77777777" w:rsidR="00FF4B40" w:rsidRDefault="00FF4B40"/>
        </w:tc>
        <w:tc>
          <w:tcPr>
            <w:tcW w:w="2670" w:type="dxa"/>
            <w:tcBorders>
              <w:top w:val="single" w:sz="4" w:space="0" w:color="000000"/>
              <w:left w:val="single" w:sz="4" w:space="0" w:color="000000"/>
              <w:bottom w:val="single" w:sz="4" w:space="0" w:color="000000"/>
              <w:right w:val="single" w:sz="4" w:space="0" w:color="000000"/>
            </w:tcBorders>
            <w:vAlign w:val="center"/>
          </w:tcPr>
          <w:p w14:paraId="4999D049" w14:textId="77777777" w:rsidR="00FF4B40" w:rsidRDefault="00A07A2E">
            <w:pPr>
              <w:numPr>
                <w:ilvl w:val="0"/>
                <w:numId w:val="5"/>
              </w:numPr>
              <w:pBdr>
                <w:top w:val="nil"/>
                <w:left w:val="nil"/>
                <w:bottom w:val="nil"/>
                <w:right w:val="nil"/>
                <w:between w:val="nil"/>
              </w:pBdr>
              <w:ind w:left="360"/>
            </w:pPr>
            <w:r>
              <w:rPr>
                <w:rFonts w:ascii="Calibri" w:eastAsia="Calibri" w:hAnsi="Calibri" w:cs="Calibri"/>
                <w:color w:val="000000"/>
              </w:rPr>
              <w:lastRenderedPageBreak/>
              <w:t xml:space="preserve">IIA sadaļa, </w:t>
            </w:r>
          </w:p>
          <w:p w14:paraId="2CD850B2" w14:textId="77777777" w:rsidR="00FF4B40" w:rsidRDefault="00A07A2E">
            <w:pPr>
              <w:numPr>
                <w:ilvl w:val="0"/>
                <w:numId w:val="5"/>
              </w:numPr>
              <w:pBdr>
                <w:top w:val="nil"/>
                <w:left w:val="nil"/>
                <w:bottom w:val="nil"/>
                <w:right w:val="nil"/>
                <w:between w:val="nil"/>
              </w:pBdr>
              <w:ind w:left="360"/>
            </w:pPr>
            <w:r>
              <w:rPr>
                <w:rFonts w:ascii="Calibri" w:eastAsia="Calibri" w:hAnsi="Calibri" w:cs="Calibri"/>
                <w:color w:val="000000"/>
              </w:rPr>
              <w:t xml:space="preserve">IVA sadaļa, </w:t>
            </w:r>
          </w:p>
          <w:p w14:paraId="019C7DC8" w14:textId="77777777" w:rsidR="00FF4B40" w:rsidRDefault="00A07A2E">
            <w:pPr>
              <w:numPr>
                <w:ilvl w:val="0"/>
                <w:numId w:val="5"/>
              </w:numPr>
              <w:pBdr>
                <w:top w:val="nil"/>
                <w:left w:val="nil"/>
                <w:bottom w:val="nil"/>
                <w:right w:val="nil"/>
                <w:between w:val="nil"/>
              </w:pBdr>
              <w:ind w:left="360"/>
            </w:pPr>
            <w:r>
              <w:rPr>
                <w:rFonts w:ascii="Calibri" w:eastAsia="Calibri" w:hAnsi="Calibri" w:cs="Calibri"/>
                <w:color w:val="000000"/>
              </w:rPr>
              <w:t>ESĪR</w:t>
            </w:r>
          </w:p>
          <w:p w14:paraId="6B920F36" w14:textId="77777777" w:rsidR="00FF4B40" w:rsidRDefault="00A07A2E">
            <w:pPr>
              <w:numPr>
                <w:ilvl w:val="0"/>
                <w:numId w:val="5"/>
              </w:numPr>
              <w:pBdr>
                <w:top w:val="nil"/>
                <w:left w:val="nil"/>
                <w:bottom w:val="nil"/>
                <w:right w:val="nil"/>
                <w:between w:val="nil"/>
              </w:pBdr>
              <w:ind w:left="360"/>
            </w:pPr>
            <w:r>
              <w:rPr>
                <w:rFonts w:ascii="Calibri" w:eastAsia="Calibri" w:hAnsi="Calibri" w:cs="Calibri"/>
                <w:color w:val="000000"/>
              </w:rPr>
              <w:t xml:space="preserve">Vietējais budžets </w:t>
            </w:r>
          </w:p>
          <w:p w14:paraId="5D5E753D" w14:textId="77777777" w:rsidR="00FF4B40" w:rsidRDefault="00A07A2E">
            <w:pPr>
              <w:numPr>
                <w:ilvl w:val="0"/>
                <w:numId w:val="5"/>
              </w:numPr>
              <w:pBdr>
                <w:top w:val="nil"/>
                <w:left w:val="nil"/>
                <w:bottom w:val="nil"/>
                <w:right w:val="nil"/>
                <w:between w:val="nil"/>
              </w:pBdr>
              <w:ind w:left="360"/>
            </w:pPr>
            <w:r>
              <w:rPr>
                <w:rFonts w:ascii="Calibri" w:eastAsia="Calibri" w:hAnsi="Calibri" w:cs="Calibri"/>
                <w:color w:val="000000"/>
              </w:rPr>
              <w:t>4 FTE studentu atbalsta centra darbinieki</w:t>
            </w:r>
          </w:p>
          <w:p w14:paraId="0BC49CAD" w14:textId="77777777" w:rsidR="00FF4B40" w:rsidRDefault="00FF4B40">
            <w:pPr>
              <w:pBdr>
                <w:top w:val="nil"/>
                <w:left w:val="nil"/>
                <w:bottom w:val="nil"/>
                <w:right w:val="nil"/>
                <w:between w:val="nil"/>
              </w:pBdr>
              <w:ind w:left="360" w:hanging="360"/>
              <w:rPr>
                <w:rFonts w:ascii="Calibri" w:eastAsia="Calibri" w:hAnsi="Calibri" w:cs="Calibri"/>
                <w:color w:val="000000"/>
              </w:rPr>
            </w:pPr>
          </w:p>
          <w:p w14:paraId="10BB4176" w14:textId="77777777" w:rsidR="00FF4B40" w:rsidRDefault="00A07A2E">
            <w:pPr>
              <w:rPr>
                <w:rFonts w:ascii="Calibri" w:eastAsia="Calibri" w:hAnsi="Calibri" w:cs="Calibri"/>
                <w:color w:val="000000"/>
              </w:rPr>
            </w:pPr>
            <w:r>
              <w:t>Turpiniet fiskāli atbalstīt pilna laika skolas konsultantu 5:1 no Laraway un vispārēju uzvedības atbalsta personu</w:t>
            </w:r>
          </w:p>
        </w:tc>
      </w:tr>
      <w:tr w:rsidR="00FF4B40" w14:paraId="3F1085BA" w14:textId="77777777">
        <w:trPr>
          <w:trHeight w:val="1097"/>
        </w:trPr>
        <w:tc>
          <w:tcPr>
            <w:tcW w:w="1575" w:type="dxa"/>
            <w:tcBorders>
              <w:top w:val="single" w:sz="4" w:space="0" w:color="000000"/>
              <w:left w:val="single" w:sz="4" w:space="0" w:color="000000"/>
              <w:bottom w:val="single" w:sz="4" w:space="0" w:color="000000"/>
              <w:right w:val="single" w:sz="4" w:space="0" w:color="000000"/>
            </w:tcBorders>
            <w:vAlign w:val="center"/>
          </w:tcPr>
          <w:p w14:paraId="5B47C6E5" w14:textId="77777777" w:rsidR="00FF4B40" w:rsidRDefault="00A07A2E">
            <w:pPr>
              <w:rPr>
                <w:b/>
              </w:rPr>
            </w:pPr>
            <w:bookmarkStart w:id="1" w:name="_heading=h.1fob9te" w:colFirst="0" w:colLast="0"/>
            <w:bookmarkEnd w:id="1"/>
            <w:r>
              <w:rPr>
                <w:b/>
              </w:rPr>
              <w:t>Akadēmiskie sasniegumi</w:t>
            </w:r>
          </w:p>
          <w:p w14:paraId="6BA623D1" w14:textId="77777777" w:rsidR="00FF4B40" w:rsidRDefault="00FF4B40"/>
        </w:tc>
        <w:tc>
          <w:tcPr>
            <w:tcW w:w="3300" w:type="dxa"/>
            <w:tcBorders>
              <w:top w:val="single" w:sz="4" w:space="0" w:color="000000"/>
              <w:left w:val="single" w:sz="4" w:space="0" w:color="000000"/>
              <w:bottom w:val="single" w:sz="4" w:space="0" w:color="000000"/>
              <w:right w:val="single" w:sz="4" w:space="0" w:color="000000"/>
            </w:tcBorders>
            <w:vAlign w:val="center"/>
          </w:tcPr>
          <w:p w14:paraId="5FB906F4" w14:textId="77777777" w:rsidR="00FF4B40" w:rsidRDefault="00A07A2E">
            <w:pPr>
              <w:widowControl/>
              <w:pBdr>
                <w:top w:val="nil"/>
                <w:left w:val="nil"/>
                <w:bottom w:val="nil"/>
                <w:right w:val="nil"/>
                <w:between w:val="nil"/>
              </w:pBdr>
              <w:spacing w:after="120"/>
              <w:ind w:left="101"/>
              <w:rPr>
                <w:rFonts w:ascii="Times New Roman" w:eastAsia="Times New Roman" w:hAnsi="Times New Roman" w:cs="Times New Roman"/>
                <w:color w:val="000000"/>
              </w:rPr>
            </w:pPr>
            <w:r>
              <w:rPr>
                <w:rFonts w:ascii="Times New Roman" w:eastAsia="Times New Roman" w:hAnsi="Times New Roman" w:cs="Times New Roman"/>
                <w:color w:val="000000"/>
              </w:rPr>
              <w:t>Izveidot taisnīgu skolu, kurā studenta demogrāfiskie dati (studenta vai studenta ģimenes locekļa faktiskā vai uztvertā rase, ticība, ādas krāsa, nacionālā izcelsme, ģimenes stāvoklis, invaliditāte, dzimums, seksuālā orientācija, dzimumidentitāte vai ekonomiskais statuss) neparedz viņu sniegumu.  Akadēmisko prasmju fokusa jomā mēs ceram:</w:t>
            </w:r>
          </w:p>
          <w:p w14:paraId="584CAC69" w14:textId="77777777" w:rsidR="00FF4B40" w:rsidRDefault="00A07A2E">
            <w:pPr>
              <w:widowControl/>
              <w:numPr>
                <w:ilvl w:val="0"/>
                <w:numId w:val="4"/>
              </w:numPr>
              <w:pBdr>
                <w:top w:val="nil"/>
                <w:left w:val="nil"/>
                <w:bottom w:val="nil"/>
                <w:right w:val="nil"/>
                <w:between w:val="nil"/>
              </w:pBdr>
              <w:spacing w:after="120"/>
              <w:ind w:left="436" w:hanging="270"/>
              <w:rPr>
                <w:rFonts w:ascii="Noto Sans Symbols" w:eastAsia="Noto Sans Symbols" w:hAnsi="Noto Sans Symbols" w:cs="Noto Sans Symbols"/>
                <w:color w:val="000000"/>
              </w:rPr>
            </w:pPr>
            <w:r>
              <w:rPr>
                <w:rFonts w:ascii="Times New Roman" w:eastAsia="Times New Roman" w:hAnsi="Times New Roman" w:cs="Times New Roman"/>
                <w:color w:val="000000"/>
              </w:rPr>
              <w:t xml:space="preserve">līdz 2025. gadam palielināt to skolēnu īpatsvaru, kuri sekmīgi mācās pamatmācībās. </w:t>
            </w:r>
          </w:p>
          <w:p w14:paraId="107F15F5" w14:textId="77777777" w:rsidR="00FF4B40" w:rsidRDefault="00A07A2E">
            <w:pPr>
              <w:widowControl/>
              <w:numPr>
                <w:ilvl w:val="0"/>
                <w:numId w:val="4"/>
              </w:numPr>
              <w:pBdr>
                <w:top w:val="nil"/>
                <w:left w:val="nil"/>
                <w:bottom w:val="nil"/>
                <w:right w:val="nil"/>
                <w:between w:val="nil"/>
              </w:pBdr>
              <w:spacing w:after="120"/>
              <w:ind w:left="436" w:hanging="270"/>
              <w:rPr>
                <w:rFonts w:ascii="Noto Sans Symbols" w:eastAsia="Noto Sans Symbols" w:hAnsi="Noto Sans Symbols" w:cs="Noto Sans Symbols"/>
                <w:color w:val="000000"/>
              </w:rPr>
            </w:pPr>
            <w:r>
              <w:rPr>
                <w:rFonts w:ascii="Times New Roman" w:eastAsia="Times New Roman" w:hAnsi="Times New Roman" w:cs="Times New Roman"/>
                <w:color w:val="000000"/>
              </w:rPr>
              <w:t xml:space="preserve">Mēs kļūsim sistemātiskāki, savstarpēji atkarīgi strādājot, lai palielinātu mūsu individuālās un kolektīvās spējas, lai apmierinātu to studentu vajadzības, kas cīnās 1. līmenī.  Mēs uzskatām, ka šī mērķa sasniegšanas rezultātā lielāks skolēnu procentuālais daudzums nokārtos SBAC un Fountas un Pinnell </w:t>
            </w:r>
            <w:r>
              <w:rPr>
                <w:rFonts w:ascii="Times New Roman" w:eastAsia="Times New Roman" w:hAnsi="Times New Roman" w:cs="Times New Roman"/>
                <w:color w:val="000000"/>
              </w:rPr>
              <w:lastRenderedPageBreak/>
              <w:t>novērtējumus savā klases līmenī.</w:t>
            </w:r>
          </w:p>
          <w:p w14:paraId="767A1B5D" w14:textId="77777777" w:rsidR="00FF4B40" w:rsidRDefault="00FF4B40">
            <w:pPr>
              <w:rPr>
                <w:b/>
              </w:rPr>
            </w:pPr>
          </w:p>
        </w:tc>
        <w:tc>
          <w:tcPr>
            <w:tcW w:w="3870" w:type="dxa"/>
            <w:tcBorders>
              <w:top w:val="single" w:sz="4" w:space="0" w:color="000000"/>
              <w:left w:val="single" w:sz="4" w:space="0" w:color="000000"/>
              <w:bottom w:val="single" w:sz="4" w:space="0" w:color="000000"/>
              <w:right w:val="single" w:sz="4" w:space="0" w:color="000000"/>
            </w:tcBorders>
            <w:vAlign w:val="center"/>
          </w:tcPr>
          <w:p w14:paraId="4578A3F0" w14:textId="77777777" w:rsidR="00FF4B40" w:rsidRDefault="00FF4B40">
            <w:pPr>
              <w:pBdr>
                <w:top w:val="nil"/>
                <w:left w:val="nil"/>
                <w:bottom w:val="nil"/>
                <w:right w:val="nil"/>
                <w:between w:val="nil"/>
              </w:pBdr>
              <w:ind w:left="720"/>
              <w:rPr>
                <w:rFonts w:ascii="Calibri" w:eastAsia="Calibri" w:hAnsi="Calibri" w:cs="Calibri"/>
                <w:b/>
                <w:color w:val="000000"/>
              </w:rPr>
            </w:pPr>
          </w:p>
          <w:p w14:paraId="40361045" w14:textId="77777777" w:rsidR="00FF4B40" w:rsidRDefault="00FF4B40">
            <w:pPr>
              <w:pBdr>
                <w:top w:val="nil"/>
                <w:left w:val="nil"/>
                <w:bottom w:val="nil"/>
                <w:right w:val="nil"/>
                <w:between w:val="nil"/>
              </w:pBdr>
              <w:ind w:left="720"/>
              <w:rPr>
                <w:rFonts w:ascii="Calibri" w:eastAsia="Calibri" w:hAnsi="Calibri" w:cs="Calibri"/>
                <w:b/>
                <w:color w:val="000000"/>
              </w:rPr>
            </w:pPr>
          </w:p>
          <w:p w14:paraId="751AF7FC" w14:textId="77777777" w:rsidR="00FF4B40" w:rsidRDefault="00A07A2E">
            <w:pPr>
              <w:numPr>
                <w:ilvl w:val="0"/>
                <w:numId w:val="6"/>
              </w:numPr>
              <w:pBdr>
                <w:top w:val="nil"/>
                <w:left w:val="nil"/>
                <w:bottom w:val="nil"/>
                <w:right w:val="nil"/>
                <w:between w:val="nil"/>
              </w:pBdr>
              <w:rPr>
                <w:rFonts w:ascii="Calibri" w:eastAsia="Calibri" w:hAnsi="Calibri" w:cs="Calibri"/>
                <w:b/>
                <w:color w:val="000000"/>
              </w:rPr>
            </w:pPr>
            <w:r>
              <w:rPr>
                <w:rFonts w:ascii="Calibri" w:eastAsia="Calibri" w:hAnsi="Calibri" w:cs="Calibri"/>
              </w:rPr>
              <w:t>Stiprināt PLC darbu, nodrošinot pedagogiem apmācību</w:t>
            </w:r>
          </w:p>
          <w:p w14:paraId="26A88558" w14:textId="77777777" w:rsidR="00FF4B40" w:rsidRDefault="00A07A2E">
            <w:pPr>
              <w:numPr>
                <w:ilvl w:val="0"/>
                <w:numId w:val="6"/>
              </w:numPr>
              <w:pBdr>
                <w:top w:val="nil"/>
                <w:left w:val="nil"/>
                <w:bottom w:val="nil"/>
                <w:right w:val="nil"/>
                <w:between w:val="nil"/>
              </w:pBdr>
              <w:rPr>
                <w:rFonts w:ascii="Calibri" w:eastAsia="Calibri" w:hAnsi="Calibri" w:cs="Calibri"/>
              </w:rPr>
            </w:pPr>
            <w:r>
              <w:rPr>
                <w:rFonts w:ascii="Calibri" w:eastAsia="Calibri" w:hAnsi="Calibri" w:cs="Calibri"/>
              </w:rPr>
              <w:t xml:space="preserve">Ieviesiet Fastbridge iejaukšanos visiem studentiem, kuri </w:t>
            </w:r>
            <w:proofErr w:type="spellStart"/>
            <w:r>
              <w:rPr>
                <w:rFonts w:ascii="Calibri" w:eastAsia="Calibri" w:hAnsi="Calibri" w:cs="Calibri"/>
              </w:rPr>
              <w:t>neatbilst</w:t>
            </w:r>
            <w:proofErr w:type="spellEnd"/>
            <w:r>
              <w:rPr>
                <w:rFonts w:ascii="Calibri" w:eastAsia="Calibri" w:hAnsi="Calibri" w:cs="Calibri"/>
              </w:rPr>
              <w:t xml:space="preserve"> MAP </w:t>
            </w:r>
            <w:proofErr w:type="spellStart"/>
            <w:r>
              <w:rPr>
                <w:rFonts w:ascii="Calibri" w:eastAsia="Calibri" w:hAnsi="Calibri" w:cs="Calibri"/>
              </w:rPr>
              <w:t>testa</w:t>
            </w:r>
            <w:proofErr w:type="spellEnd"/>
            <w:r>
              <w:rPr>
                <w:rFonts w:ascii="Calibri" w:eastAsia="Calibri" w:hAnsi="Calibri" w:cs="Calibri"/>
              </w:rPr>
              <w:t xml:space="preserve"> </w:t>
            </w:r>
            <w:proofErr w:type="spellStart"/>
            <w:r>
              <w:rPr>
                <w:rFonts w:ascii="Calibri" w:eastAsia="Calibri" w:hAnsi="Calibri" w:cs="Calibri"/>
              </w:rPr>
              <w:t>standartiem</w:t>
            </w:r>
            <w:proofErr w:type="spellEnd"/>
          </w:p>
          <w:p w14:paraId="2A10521E" w14:textId="77777777" w:rsidR="00FF4B40" w:rsidRDefault="00A07A2E">
            <w:pPr>
              <w:numPr>
                <w:ilvl w:val="0"/>
                <w:numId w:val="6"/>
              </w:numPr>
              <w:pBdr>
                <w:top w:val="nil"/>
                <w:left w:val="nil"/>
                <w:bottom w:val="nil"/>
                <w:right w:val="nil"/>
                <w:between w:val="nil"/>
              </w:pBdr>
              <w:rPr>
                <w:rFonts w:ascii="Calibri" w:eastAsia="Calibri" w:hAnsi="Calibri" w:cs="Calibri"/>
                <w:b/>
                <w:color w:val="000000"/>
              </w:rPr>
            </w:pPr>
            <w:r>
              <w:rPr>
                <w:rFonts w:ascii="Calibri" w:eastAsia="Calibri" w:hAnsi="Calibri" w:cs="Calibri"/>
                <w:color w:val="000000"/>
              </w:rPr>
              <w:t>Sadarbojieties ar LNSU kolēģiem, lai saskaņotu mācību programmu un nodrošinātu, ka skolēniem tiek sniegta augstas kvalitātes pirmā apmācība</w:t>
            </w:r>
          </w:p>
          <w:p w14:paraId="4F2B17DF" w14:textId="77777777" w:rsidR="00FF4B40" w:rsidRDefault="00A07A2E">
            <w:pPr>
              <w:numPr>
                <w:ilvl w:val="0"/>
                <w:numId w:val="6"/>
              </w:numPr>
              <w:pBdr>
                <w:top w:val="nil"/>
                <w:left w:val="nil"/>
                <w:bottom w:val="nil"/>
                <w:right w:val="nil"/>
                <w:between w:val="nil"/>
              </w:pBdr>
              <w:rPr>
                <w:rFonts w:ascii="Calibri" w:eastAsia="Calibri" w:hAnsi="Calibri" w:cs="Calibri"/>
                <w:b/>
                <w:color w:val="000000"/>
              </w:rPr>
            </w:pPr>
            <w:r>
              <w:rPr>
                <w:rFonts w:ascii="Calibri" w:eastAsia="Calibri" w:hAnsi="Calibri" w:cs="Calibri"/>
                <w:color w:val="000000"/>
              </w:rPr>
              <w:t>Ieviesiet atsaucīgās klases praksi visās klasēs</w:t>
            </w:r>
          </w:p>
          <w:p w14:paraId="433FB116" w14:textId="77777777" w:rsidR="00FF4B40" w:rsidRDefault="00A07A2E">
            <w:pPr>
              <w:numPr>
                <w:ilvl w:val="0"/>
                <w:numId w:val="6"/>
              </w:numPr>
              <w:pBdr>
                <w:top w:val="nil"/>
                <w:left w:val="nil"/>
                <w:bottom w:val="nil"/>
                <w:right w:val="nil"/>
                <w:between w:val="nil"/>
              </w:pBdr>
            </w:pPr>
            <w:r>
              <w:rPr>
                <w:rFonts w:ascii="Calibri" w:eastAsia="Calibri" w:hAnsi="Calibri" w:cs="Calibri"/>
                <w:color w:val="000000"/>
              </w:rPr>
              <w:t xml:space="preserve">Iegādājieties un administrējiet skolas mēroga </w:t>
            </w:r>
            <w:r>
              <w:rPr>
                <w:rFonts w:ascii="Calibri" w:eastAsia="Calibri" w:hAnsi="Calibri" w:cs="Calibri"/>
              </w:rPr>
              <w:t xml:space="preserve">visaptverošu izaugsmes novērtējumu </w:t>
            </w:r>
            <w:r>
              <w:rPr>
                <w:rFonts w:ascii="Calibri" w:eastAsia="Calibri" w:hAnsi="Calibri" w:cs="Calibri"/>
                <w:color w:val="000000"/>
              </w:rPr>
              <w:t xml:space="preserve"> , kas jāizmanto visiem skolēniem</w:t>
            </w:r>
          </w:p>
          <w:p w14:paraId="7D79621E" w14:textId="77777777" w:rsidR="00FF4B40" w:rsidRDefault="00FF4B40">
            <w:pPr>
              <w:pBdr>
                <w:top w:val="nil"/>
                <w:left w:val="nil"/>
                <w:bottom w:val="nil"/>
                <w:right w:val="nil"/>
                <w:between w:val="nil"/>
              </w:pBdr>
              <w:ind w:left="360"/>
              <w:rPr>
                <w:rFonts w:ascii="Calibri" w:eastAsia="Calibri" w:hAnsi="Calibri" w:cs="Calibri"/>
              </w:rPr>
            </w:pPr>
          </w:p>
          <w:p w14:paraId="34B623E4" w14:textId="77777777" w:rsidR="00FF4B40" w:rsidRDefault="00FF4B40">
            <w:pPr>
              <w:pBdr>
                <w:top w:val="nil"/>
                <w:left w:val="nil"/>
                <w:bottom w:val="nil"/>
                <w:right w:val="nil"/>
                <w:between w:val="nil"/>
              </w:pBdr>
              <w:ind w:left="720"/>
              <w:rPr>
                <w:rFonts w:ascii="Calibri" w:eastAsia="Calibri" w:hAnsi="Calibri" w:cs="Calibri"/>
                <w:b/>
                <w:color w:val="000000"/>
              </w:rPr>
            </w:pPr>
          </w:p>
          <w:p w14:paraId="4A8BB992" w14:textId="77777777" w:rsidR="00FF4B40" w:rsidRDefault="00FF4B40"/>
        </w:tc>
        <w:tc>
          <w:tcPr>
            <w:tcW w:w="2970" w:type="dxa"/>
            <w:tcBorders>
              <w:top w:val="single" w:sz="4" w:space="0" w:color="000000"/>
              <w:left w:val="single" w:sz="4" w:space="0" w:color="000000"/>
              <w:bottom w:val="single" w:sz="4" w:space="0" w:color="000000"/>
              <w:right w:val="single" w:sz="4" w:space="0" w:color="000000"/>
            </w:tcBorders>
            <w:vAlign w:val="center"/>
          </w:tcPr>
          <w:p w14:paraId="6D5AE469" w14:textId="77777777" w:rsidR="00FF4B40" w:rsidRDefault="00A07A2E">
            <w:pPr>
              <w:numPr>
                <w:ilvl w:val="1"/>
                <w:numId w:val="4"/>
              </w:numPr>
              <w:pBdr>
                <w:top w:val="nil"/>
                <w:left w:val="nil"/>
                <w:bottom w:val="nil"/>
                <w:right w:val="nil"/>
                <w:between w:val="nil"/>
              </w:pBdr>
              <w:ind w:left="360"/>
              <w:rPr>
                <w:rFonts w:ascii="Calibri" w:eastAsia="Calibri" w:hAnsi="Calibri" w:cs="Calibri"/>
                <w:color w:val="000000"/>
              </w:rPr>
            </w:pPr>
            <w:r>
              <w:rPr>
                <w:rFonts w:ascii="Calibri" w:eastAsia="Calibri" w:hAnsi="Calibri" w:cs="Calibri"/>
                <w:color w:val="000000"/>
              </w:rPr>
              <w:t>Sanāksmes protokoli tiek sastādīti katrā PLC / datu komandas sanāksmē, lai palīdzētu komandai uzraudzīt viņu progresu.  Turklāt akadēmiskās vadības komandas protokolā tiks dokumentēts šis darbs</w:t>
            </w:r>
          </w:p>
          <w:p w14:paraId="52F99032" w14:textId="77777777" w:rsidR="00FF4B40" w:rsidRDefault="00A07A2E">
            <w:pPr>
              <w:numPr>
                <w:ilvl w:val="1"/>
                <w:numId w:val="4"/>
              </w:numPr>
              <w:pBdr>
                <w:top w:val="nil"/>
                <w:left w:val="nil"/>
                <w:bottom w:val="nil"/>
                <w:right w:val="nil"/>
                <w:between w:val="nil"/>
              </w:pBdr>
              <w:ind w:left="360"/>
              <w:rPr>
                <w:rFonts w:ascii="Calibri" w:eastAsia="Calibri" w:hAnsi="Calibri" w:cs="Calibri"/>
                <w:color w:val="000000"/>
              </w:rPr>
            </w:pPr>
            <w:r>
              <w:rPr>
                <w:rFonts w:ascii="Calibri" w:eastAsia="Calibri" w:hAnsi="Calibri" w:cs="Calibri"/>
                <w:color w:val="000000"/>
              </w:rPr>
              <w:t>Mācību programmas dokumentos tiks parādīts saskaņošanas līmenis</w:t>
            </w:r>
          </w:p>
          <w:p w14:paraId="4B1DB856" w14:textId="77777777" w:rsidR="00FF4B40" w:rsidRDefault="00A07A2E">
            <w:pPr>
              <w:numPr>
                <w:ilvl w:val="1"/>
                <w:numId w:val="4"/>
              </w:numPr>
              <w:pBdr>
                <w:top w:val="nil"/>
                <w:left w:val="nil"/>
                <w:bottom w:val="nil"/>
                <w:right w:val="nil"/>
                <w:between w:val="nil"/>
              </w:pBdr>
              <w:ind w:left="360"/>
              <w:rPr>
                <w:rFonts w:ascii="Calibri" w:eastAsia="Calibri" w:hAnsi="Calibri" w:cs="Calibri"/>
                <w:color w:val="000000"/>
              </w:rPr>
            </w:pPr>
            <w:r>
              <w:rPr>
                <w:rFonts w:ascii="Calibri" w:eastAsia="Calibri" w:hAnsi="Calibri" w:cs="Calibri"/>
                <w:color w:val="000000"/>
              </w:rPr>
              <w:t>Skolotāju aptaujas un galvenās novērošanas parādīs RC ieviešanas līmeni un panākumus</w:t>
            </w:r>
          </w:p>
          <w:p w14:paraId="4E35A3D7" w14:textId="77777777" w:rsidR="00FF4B40" w:rsidRDefault="00A07A2E">
            <w:pPr>
              <w:numPr>
                <w:ilvl w:val="1"/>
                <w:numId w:val="4"/>
              </w:numPr>
              <w:pBdr>
                <w:top w:val="nil"/>
                <w:left w:val="nil"/>
                <w:bottom w:val="nil"/>
                <w:right w:val="nil"/>
                <w:between w:val="nil"/>
              </w:pBdr>
              <w:ind w:left="360"/>
              <w:rPr>
                <w:rFonts w:ascii="Calibri" w:eastAsia="Calibri" w:hAnsi="Calibri" w:cs="Calibri"/>
                <w:color w:val="000000"/>
              </w:rPr>
            </w:pPr>
            <w:r>
              <w:rPr>
                <w:rFonts w:ascii="Calibri" w:eastAsia="Calibri" w:hAnsi="Calibri" w:cs="Calibri"/>
                <w:color w:val="000000"/>
              </w:rPr>
              <w:t>Akadēmiskās vadības komandas protokols dokumentēs šo darbu</w:t>
            </w:r>
          </w:p>
          <w:p w14:paraId="7ADB5ED2" w14:textId="77777777" w:rsidR="00FF4B40" w:rsidRDefault="00FF4B40"/>
        </w:tc>
        <w:tc>
          <w:tcPr>
            <w:tcW w:w="2670" w:type="dxa"/>
            <w:tcBorders>
              <w:top w:val="single" w:sz="4" w:space="0" w:color="000000"/>
              <w:left w:val="single" w:sz="4" w:space="0" w:color="000000"/>
              <w:bottom w:val="single" w:sz="4" w:space="0" w:color="000000"/>
              <w:right w:val="single" w:sz="4" w:space="0" w:color="000000"/>
            </w:tcBorders>
            <w:vAlign w:val="center"/>
          </w:tcPr>
          <w:p w14:paraId="4CD197D3" w14:textId="77777777" w:rsidR="00FF4B40" w:rsidRDefault="00A07A2E">
            <w:pPr>
              <w:numPr>
                <w:ilvl w:val="0"/>
                <w:numId w:val="1"/>
              </w:numPr>
              <w:pBdr>
                <w:top w:val="nil"/>
                <w:left w:val="nil"/>
                <w:bottom w:val="nil"/>
                <w:right w:val="nil"/>
                <w:between w:val="nil"/>
              </w:pBdr>
              <w:ind w:left="346" w:hanging="270"/>
              <w:rPr>
                <w:rFonts w:ascii="Calibri" w:eastAsia="Calibri" w:hAnsi="Calibri" w:cs="Calibri"/>
                <w:color w:val="000000"/>
              </w:rPr>
            </w:pPr>
            <w:r>
              <w:rPr>
                <w:rFonts w:ascii="Calibri" w:eastAsia="Calibri" w:hAnsi="Calibri" w:cs="Calibri"/>
                <w:color w:val="000000"/>
              </w:rPr>
              <w:t>Personāls būs akadēmiskajā vadības komandā</w:t>
            </w:r>
          </w:p>
          <w:p w14:paraId="1FBA44F5" w14:textId="77777777" w:rsidR="00FF4B40" w:rsidRDefault="00A07A2E">
            <w:pPr>
              <w:numPr>
                <w:ilvl w:val="0"/>
                <w:numId w:val="1"/>
              </w:numPr>
              <w:pBdr>
                <w:top w:val="nil"/>
                <w:left w:val="nil"/>
                <w:bottom w:val="nil"/>
                <w:right w:val="nil"/>
                <w:between w:val="nil"/>
              </w:pBdr>
              <w:ind w:left="346" w:hanging="270"/>
              <w:rPr>
                <w:rFonts w:ascii="Calibri" w:eastAsia="Calibri" w:hAnsi="Calibri" w:cs="Calibri"/>
                <w:color w:val="000000"/>
              </w:rPr>
            </w:pPr>
            <w:r>
              <w:rPr>
                <w:rFonts w:ascii="Calibri" w:eastAsia="Calibri" w:hAnsi="Calibri" w:cs="Calibri"/>
                <w:color w:val="000000"/>
              </w:rPr>
              <w:t>Resursi, lai samaksātu darbiniekiem par papildu darbu no vietējā budžeta</w:t>
            </w:r>
          </w:p>
          <w:p w14:paraId="47F43389" w14:textId="77777777" w:rsidR="00FF4B40" w:rsidRDefault="00A07A2E">
            <w:pPr>
              <w:numPr>
                <w:ilvl w:val="0"/>
                <w:numId w:val="1"/>
              </w:numPr>
              <w:pBdr>
                <w:top w:val="nil"/>
                <w:left w:val="nil"/>
                <w:bottom w:val="nil"/>
                <w:right w:val="nil"/>
                <w:between w:val="nil"/>
              </w:pBdr>
              <w:spacing w:after="200"/>
              <w:ind w:left="346" w:hanging="270"/>
              <w:rPr>
                <w:rFonts w:ascii="Calibri" w:eastAsia="Calibri" w:hAnsi="Calibri" w:cs="Calibri"/>
                <w:color w:val="000000"/>
              </w:rPr>
            </w:pPr>
            <w:r>
              <w:rPr>
                <w:rFonts w:ascii="Calibri" w:eastAsia="Calibri" w:hAnsi="Calibri" w:cs="Calibri"/>
                <w:color w:val="000000"/>
              </w:rPr>
              <w:t>Darbinieku tikšanās laiks</w:t>
            </w:r>
          </w:p>
          <w:p w14:paraId="7E69E203" w14:textId="77777777" w:rsidR="00FF4B40" w:rsidRDefault="00FF4B40"/>
        </w:tc>
      </w:tr>
    </w:tbl>
    <w:p w14:paraId="77E6F4FA" w14:textId="77777777" w:rsidR="00FF4B40" w:rsidRDefault="00A07A2E">
      <w:pPr>
        <w:pBdr>
          <w:top w:val="nil"/>
          <w:left w:val="nil"/>
          <w:bottom w:val="nil"/>
          <w:right w:val="nil"/>
          <w:between w:val="nil"/>
        </w:pBdr>
        <w:rPr>
          <w:b/>
          <w:color w:val="000000"/>
          <w:sz w:val="20"/>
          <w:szCs w:val="20"/>
        </w:rPr>
      </w:pPr>
      <w:r>
        <w:rPr>
          <w:b/>
          <w:color w:val="000000"/>
          <w:sz w:val="20"/>
          <w:szCs w:val="20"/>
        </w:rPr>
        <w:t xml:space="preserve">Ja vēlaties iekļaut konkrētai skolai specifiskus mērķus un/vai jums ir vairāk SU/SD mērķu, varat izveidot papildu rindas. </w:t>
      </w:r>
    </w:p>
    <w:p w14:paraId="725114CD" w14:textId="77777777" w:rsidR="00FF4B40" w:rsidRDefault="00FF4B40">
      <w:pPr>
        <w:pBdr>
          <w:top w:val="nil"/>
          <w:left w:val="nil"/>
          <w:bottom w:val="nil"/>
          <w:right w:val="nil"/>
          <w:between w:val="nil"/>
        </w:pBdr>
        <w:rPr>
          <w:rFonts w:ascii="Libre Franklin" w:eastAsia="Libre Franklin" w:hAnsi="Libre Franklin" w:cs="Libre Franklin"/>
          <w:color w:val="000000"/>
          <w:sz w:val="28"/>
          <w:szCs w:val="28"/>
        </w:rPr>
      </w:pPr>
    </w:p>
    <w:p w14:paraId="2B97F196" w14:textId="77777777" w:rsidR="00FF4B40" w:rsidRDefault="00FF4B40">
      <w:pPr>
        <w:pBdr>
          <w:top w:val="nil"/>
          <w:left w:val="nil"/>
          <w:bottom w:val="nil"/>
          <w:right w:val="nil"/>
          <w:between w:val="nil"/>
        </w:pBdr>
        <w:rPr>
          <w:rFonts w:ascii="Libre Franklin" w:eastAsia="Libre Franklin" w:hAnsi="Libre Franklin" w:cs="Libre Franklin"/>
          <w:color w:val="000000"/>
          <w:sz w:val="28"/>
          <w:szCs w:val="28"/>
        </w:rPr>
      </w:pPr>
    </w:p>
    <w:p w14:paraId="7F1BDDBB" w14:textId="77777777" w:rsidR="00FF4B40" w:rsidRDefault="00A07A2E">
      <w:pPr>
        <w:pBdr>
          <w:top w:val="nil"/>
          <w:left w:val="nil"/>
          <w:bottom w:val="nil"/>
          <w:right w:val="nil"/>
          <w:between w:val="nil"/>
        </w:pBdr>
        <w:rPr>
          <w:rFonts w:ascii="Libre Franklin" w:eastAsia="Libre Franklin" w:hAnsi="Libre Franklin" w:cs="Libre Franklin"/>
          <w:color w:val="000000"/>
          <w:sz w:val="28"/>
          <w:szCs w:val="28"/>
        </w:rPr>
      </w:pPr>
      <w:r>
        <w:rPr>
          <w:rFonts w:ascii="Libre Franklin" w:eastAsia="Libre Franklin" w:hAnsi="Libre Franklin" w:cs="Libre Franklin"/>
          <w:b/>
          <w:color w:val="000000"/>
          <w:sz w:val="28"/>
          <w:szCs w:val="28"/>
        </w:rPr>
        <w:t>Pašu kapitāla atbalsts</w:t>
      </w:r>
      <w:r>
        <w:rPr>
          <w:rFonts w:ascii="Libre Franklin" w:eastAsia="Libre Franklin" w:hAnsi="Libre Franklin" w:cs="Libre Franklin"/>
          <w:color w:val="000000"/>
          <w:sz w:val="28"/>
          <w:szCs w:val="28"/>
        </w:rPr>
        <w:t xml:space="preserve"> (nepieciešams, ja jūsu SU / SD vai konkrēta skola ir tiesīga saņemt pašu kapitāla atbalstu)</w:t>
      </w:r>
    </w:p>
    <w:p w14:paraId="6B1651C2" w14:textId="77777777" w:rsidR="00FF4B40" w:rsidRDefault="00A07A2E">
      <w:r>
        <w:t>Ja kāda skola jūsu LEA vai LEA kopumā ir tiesīga saņemt pašu kapitāla atbalstu, lūdzu, norādiet, kuri no iepriekš minētajiem mērķiem vai stratēģijām attiecas uz atbilstības iemeslu.  Ja neviens no mērķiem vai stratēģijām neattiecas uz atbilstību, lūdzu, norādiet atsevišķu mērķi vai stratēģiju katrai struktūrai, kas ir tiesīga saņemt atbalstu.</w:t>
      </w:r>
    </w:p>
    <w:p w14:paraId="524B5EDC" w14:textId="77777777" w:rsidR="00FF4B40" w:rsidRDefault="00FF4B40"/>
    <w:tbl>
      <w:tblPr>
        <w:tblStyle w:val="af7"/>
        <w:tblW w:w="143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5"/>
        <w:gridCol w:w="3240"/>
        <w:gridCol w:w="3150"/>
        <w:gridCol w:w="2880"/>
        <w:gridCol w:w="2785"/>
      </w:tblGrid>
      <w:tr w:rsidR="00FF4B40" w14:paraId="4C1E86FF" w14:textId="77777777">
        <w:tc>
          <w:tcPr>
            <w:tcW w:w="2335" w:type="dxa"/>
            <w:shd w:val="clear" w:color="auto" w:fill="BFBFBF"/>
          </w:tcPr>
          <w:p w14:paraId="3083009B" w14:textId="77777777" w:rsidR="00FF4B40" w:rsidRDefault="00FF4B40">
            <w:pPr>
              <w:pBdr>
                <w:top w:val="nil"/>
                <w:left w:val="nil"/>
                <w:bottom w:val="nil"/>
                <w:right w:val="nil"/>
                <w:between w:val="nil"/>
              </w:pBdr>
              <w:jc w:val="center"/>
              <w:rPr>
                <w:b/>
                <w:color w:val="000000"/>
                <w:sz w:val="20"/>
                <w:szCs w:val="20"/>
              </w:rPr>
            </w:pPr>
          </w:p>
          <w:p w14:paraId="2CBAF641" w14:textId="77777777" w:rsidR="00FF4B40" w:rsidRDefault="00A07A2E">
            <w:pPr>
              <w:pBdr>
                <w:top w:val="nil"/>
                <w:left w:val="nil"/>
                <w:bottom w:val="nil"/>
                <w:right w:val="nil"/>
                <w:between w:val="nil"/>
              </w:pBdr>
              <w:jc w:val="center"/>
              <w:rPr>
                <w:b/>
                <w:color w:val="000000"/>
                <w:sz w:val="20"/>
                <w:szCs w:val="20"/>
              </w:rPr>
            </w:pPr>
            <w:r>
              <w:rPr>
                <w:b/>
                <w:color w:val="000000"/>
                <w:sz w:val="20"/>
                <w:szCs w:val="20"/>
              </w:rPr>
              <w:t>Piemērota LEA vai skola</w:t>
            </w:r>
          </w:p>
          <w:p w14:paraId="1B85DB15" w14:textId="77777777" w:rsidR="00FF4B40" w:rsidRDefault="00FF4B40">
            <w:pPr>
              <w:pBdr>
                <w:top w:val="nil"/>
                <w:left w:val="nil"/>
                <w:bottom w:val="nil"/>
                <w:right w:val="nil"/>
                <w:between w:val="nil"/>
              </w:pBdr>
              <w:jc w:val="center"/>
              <w:rPr>
                <w:b/>
                <w:color w:val="000000"/>
                <w:sz w:val="20"/>
                <w:szCs w:val="20"/>
              </w:rPr>
            </w:pPr>
          </w:p>
        </w:tc>
        <w:tc>
          <w:tcPr>
            <w:tcW w:w="3240" w:type="dxa"/>
            <w:shd w:val="clear" w:color="auto" w:fill="BFBFBF"/>
          </w:tcPr>
          <w:p w14:paraId="79326255" w14:textId="77777777" w:rsidR="00FF4B40" w:rsidRDefault="00FF4B40">
            <w:pPr>
              <w:pBdr>
                <w:top w:val="nil"/>
                <w:left w:val="nil"/>
                <w:bottom w:val="nil"/>
                <w:right w:val="nil"/>
                <w:between w:val="nil"/>
              </w:pBdr>
              <w:jc w:val="center"/>
              <w:rPr>
                <w:b/>
                <w:color w:val="000000"/>
                <w:sz w:val="20"/>
                <w:szCs w:val="20"/>
              </w:rPr>
            </w:pPr>
          </w:p>
          <w:p w14:paraId="1CF34F71" w14:textId="77777777" w:rsidR="00FF4B40" w:rsidRDefault="00A07A2E">
            <w:pPr>
              <w:pBdr>
                <w:top w:val="nil"/>
                <w:left w:val="nil"/>
                <w:bottom w:val="nil"/>
                <w:right w:val="nil"/>
                <w:between w:val="nil"/>
              </w:pBdr>
              <w:jc w:val="center"/>
              <w:rPr>
                <w:b/>
                <w:color w:val="000000"/>
                <w:sz w:val="20"/>
                <w:szCs w:val="20"/>
              </w:rPr>
            </w:pPr>
            <w:r>
              <w:rPr>
                <w:b/>
                <w:color w:val="000000"/>
                <w:sz w:val="20"/>
                <w:szCs w:val="20"/>
              </w:rPr>
              <w:t>Prioritārais mērķis</w:t>
            </w:r>
          </w:p>
        </w:tc>
        <w:tc>
          <w:tcPr>
            <w:tcW w:w="3150" w:type="dxa"/>
            <w:shd w:val="clear" w:color="auto" w:fill="BFBFBF"/>
          </w:tcPr>
          <w:p w14:paraId="3D3B5F91" w14:textId="77777777" w:rsidR="00FF4B40" w:rsidRDefault="00FF4B40">
            <w:pPr>
              <w:pBdr>
                <w:top w:val="nil"/>
                <w:left w:val="nil"/>
                <w:bottom w:val="nil"/>
                <w:right w:val="nil"/>
                <w:between w:val="nil"/>
              </w:pBdr>
              <w:jc w:val="center"/>
              <w:rPr>
                <w:b/>
                <w:color w:val="000000"/>
                <w:sz w:val="20"/>
                <w:szCs w:val="20"/>
              </w:rPr>
            </w:pPr>
          </w:p>
          <w:p w14:paraId="29CE1C63" w14:textId="77777777" w:rsidR="00FF4B40" w:rsidRDefault="00A07A2E">
            <w:pPr>
              <w:pBdr>
                <w:top w:val="nil"/>
                <w:left w:val="nil"/>
                <w:bottom w:val="nil"/>
                <w:right w:val="nil"/>
                <w:between w:val="nil"/>
              </w:pBdr>
              <w:jc w:val="center"/>
              <w:rPr>
                <w:b/>
                <w:color w:val="000000"/>
                <w:sz w:val="20"/>
                <w:szCs w:val="20"/>
              </w:rPr>
            </w:pPr>
            <w:r>
              <w:rPr>
                <w:b/>
                <w:color w:val="000000"/>
                <w:sz w:val="20"/>
                <w:szCs w:val="20"/>
              </w:rPr>
              <w:t>Prioritārās stratēģijas / izmaiņu idejas</w:t>
            </w:r>
          </w:p>
        </w:tc>
        <w:tc>
          <w:tcPr>
            <w:tcW w:w="2880" w:type="dxa"/>
            <w:shd w:val="clear" w:color="auto" w:fill="BFBFBF"/>
          </w:tcPr>
          <w:p w14:paraId="6323CC38" w14:textId="77777777" w:rsidR="00FF4B40" w:rsidRDefault="00FF4B40">
            <w:pPr>
              <w:pBdr>
                <w:top w:val="nil"/>
                <w:left w:val="nil"/>
                <w:bottom w:val="nil"/>
                <w:right w:val="nil"/>
                <w:between w:val="nil"/>
              </w:pBdr>
              <w:jc w:val="center"/>
              <w:rPr>
                <w:b/>
                <w:color w:val="000000"/>
                <w:sz w:val="20"/>
                <w:szCs w:val="20"/>
              </w:rPr>
            </w:pPr>
          </w:p>
          <w:p w14:paraId="6F5E5A68" w14:textId="77777777" w:rsidR="00FF4B40" w:rsidRDefault="00A07A2E">
            <w:pPr>
              <w:pBdr>
                <w:top w:val="nil"/>
                <w:left w:val="nil"/>
                <w:bottom w:val="nil"/>
                <w:right w:val="nil"/>
                <w:between w:val="nil"/>
              </w:pBdr>
              <w:jc w:val="center"/>
              <w:rPr>
                <w:b/>
                <w:color w:val="000000"/>
                <w:sz w:val="20"/>
                <w:szCs w:val="20"/>
              </w:rPr>
            </w:pPr>
            <w:r>
              <w:rPr>
                <w:b/>
                <w:color w:val="000000"/>
                <w:sz w:val="20"/>
                <w:szCs w:val="20"/>
              </w:rPr>
              <w:t>Pasākumi</w:t>
            </w:r>
          </w:p>
        </w:tc>
        <w:tc>
          <w:tcPr>
            <w:tcW w:w="2785" w:type="dxa"/>
            <w:shd w:val="clear" w:color="auto" w:fill="BFBFBF"/>
          </w:tcPr>
          <w:p w14:paraId="11BF2E5C" w14:textId="77777777" w:rsidR="00FF4B40" w:rsidRDefault="00FF4B40">
            <w:pPr>
              <w:pBdr>
                <w:top w:val="nil"/>
                <w:left w:val="nil"/>
                <w:bottom w:val="nil"/>
                <w:right w:val="nil"/>
                <w:between w:val="nil"/>
              </w:pBdr>
              <w:jc w:val="center"/>
              <w:rPr>
                <w:b/>
                <w:color w:val="000000"/>
                <w:sz w:val="20"/>
                <w:szCs w:val="20"/>
              </w:rPr>
            </w:pPr>
          </w:p>
          <w:p w14:paraId="6E624C85" w14:textId="77777777" w:rsidR="00FF4B40" w:rsidRDefault="00A07A2E">
            <w:pPr>
              <w:pBdr>
                <w:top w:val="nil"/>
                <w:left w:val="nil"/>
                <w:bottom w:val="nil"/>
                <w:right w:val="nil"/>
                <w:between w:val="nil"/>
              </w:pBdr>
              <w:jc w:val="center"/>
              <w:rPr>
                <w:b/>
                <w:color w:val="000000"/>
                <w:sz w:val="20"/>
                <w:szCs w:val="20"/>
              </w:rPr>
            </w:pPr>
            <w:r>
              <w:rPr>
                <w:b/>
                <w:color w:val="000000"/>
                <w:sz w:val="20"/>
                <w:szCs w:val="20"/>
              </w:rPr>
              <w:t>Cilvēkresursi, materiālie un fiskālie resursi īstenošanai</w:t>
            </w:r>
          </w:p>
        </w:tc>
      </w:tr>
      <w:tr w:rsidR="00FF4B40" w14:paraId="4CCFD5EE" w14:textId="77777777">
        <w:tc>
          <w:tcPr>
            <w:tcW w:w="2335" w:type="dxa"/>
          </w:tcPr>
          <w:p w14:paraId="4A2DC811"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p w14:paraId="59610F70" w14:textId="77777777" w:rsidR="00FF4B40" w:rsidRDefault="00A07A2E">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Nav piemērojams</w:t>
            </w:r>
          </w:p>
        </w:tc>
        <w:tc>
          <w:tcPr>
            <w:tcW w:w="3240" w:type="dxa"/>
          </w:tcPr>
          <w:p w14:paraId="7B9A1EAA"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3150" w:type="dxa"/>
          </w:tcPr>
          <w:p w14:paraId="62975DEF"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2880" w:type="dxa"/>
          </w:tcPr>
          <w:p w14:paraId="63FB9587"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2785" w:type="dxa"/>
          </w:tcPr>
          <w:p w14:paraId="45A457F9"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r>
      <w:tr w:rsidR="00FF4B40" w14:paraId="2E75C592" w14:textId="77777777">
        <w:tc>
          <w:tcPr>
            <w:tcW w:w="2335" w:type="dxa"/>
          </w:tcPr>
          <w:p w14:paraId="5C4EE992"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p w14:paraId="5A636546"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3240" w:type="dxa"/>
          </w:tcPr>
          <w:p w14:paraId="3231031A"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3150" w:type="dxa"/>
          </w:tcPr>
          <w:p w14:paraId="1D50B9AA"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2880" w:type="dxa"/>
          </w:tcPr>
          <w:p w14:paraId="3CEF7198"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2785" w:type="dxa"/>
          </w:tcPr>
          <w:p w14:paraId="48E5AEF5"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r>
      <w:tr w:rsidR="00FF4B40" w14:paraId="09EBA96F" w14:textId="77777777">
        <w:tc>
          <w:tcPr>
            <w:tcW w:w="2335" w:type="dxa"/>
          </w:tcPr>
          <w:p w14:paraId="77294056"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p w14:paraId="04961C55"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3240" w:type="dxa"/>
          </w:tcPr>
          <w:p w14:paraId="0DC98A60"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3150" w:type="dxa"/>
          </w:tcPr>
          <w:p w14:paraId="07CE3FC6"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2880" w:type="dxa"/>
          </w:tcPr>
          <w:p w14:paraId="0E713991"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2785" w:type="dxa"/>
          </w:tcPr>
          <w:p w14:paraId="28BA30B7"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r>
      <w:tr w:rsidR="00FF4B40" w14:paraId="4401415C" w14:textId="77777777">
        <w:tc>
          <w:tcPr>
            <w:tcW w:w="2335" w:type="dxa"/>
          </w:tcPr>
          <w:p w14:paraId="30CFCFB5"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p w14:paraId="2F601810"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3240" w:type="dxa"/>
          </w:tcPr>
          <w:p w14:paraId="1487F854"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3150" w:type="dxa"/>
          </w:tcPr>
          <w:p w14:paraId="3F4E722D"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2880" w:type="dxa"/>
          </w:tcPr>
          <w:p w14:paraId="3F7F0303"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c>
          <w:tcPr>
            <w:tcW w:w="2785" w:type="dxa"/>
          </w:tcPr>
          <w:p w14:paraId="06A35BB1"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r>
    </w:tbl>
    <w:p w14:paraId="7F3538C4" w14:textId="77777777" w:rsidR="00FF4B40" w:rsidRDefault="00A07A2E">
      <w:pPr>
        <w:pBdr>
          <w:top w:val="nil"/>
          <w:left w:val="nil"/>
          <w:bottom w:val="nil"/>
          <w:right w:val="nil"/>
          <w:between w:val="nil"/>
        </w:pBdr>
        <w:rPr>
          <w:b/>
          <w:color w:val="000000"/>
          <w:sz w:val="20"/>
          <w:szCs w:val="20"/>
        </w:rPr>
      </w:pPr>
      <w:r>
        <w:rPr>
          <w:b/>
          <w:color w:val="000000"/>
          <w:sz w:val="20"/>
          <w:szCs w:val="20"/>
        </w:rPr>
        <w:t>Ja nepieciešams, pievienojiet papildu rindas</w:t>
      </w:r>
    </w:p>
    <w:p w14:paraId="37CFA8F2" w14:textId="77777777" w:rsidR="00FF4B40" w:rsidRDefault="00FF4B40">
      <w:pPr>
        <w:pBdr>
          <w:top w:val="nil"/>
          <w:left w:val="nil"/>
          <w:bottom w:val="nil"/>
          <w:right w:val="nil"/>
          <w:between w:val="nil"/>
        </w:pBdr>
        <w:rPr>
          <w:rFonts w:ascii="Libre Franklin" w:eastAsia="Libre Franklin" w:hAnsi="Libre Franklin" w:cs="Libre Franklin"/>
          <w:color w:val="000000"/>
          <w:sz w:val="28"/>
          <w:szCs w:val="28"/>
        </w:rPr>
      </w:pPr>
    </w:p>
    <w:p w14:paraId="34911B6A" w14:textId="77777777" w:rsidR="00FF4B40" w:rsidRDefault="00FF4B40">
      <w:pPr>
        <w:pBdr>
          <w:top w:val="nil"/>
          <w:left w:val="nil"/>
          <w:bottom w:val="nil"/>
          <w:right w:val="nil"/>
          <w:between w:val="nil"/>
        </w:pBdr>
        <w:rPr>
          <w:rFonts w:ascii="Libre Franklin" w:eastAsia="Libre Franklin" w:hAnsi="Libre Franklin" w:cs="Libre Franklin"/>
          <w:color w:val="000000"/>
          <w:sz w:val="28"/>
          <w:szCs w:val="28"/>
        </w:rPr>
      </w:pPr>
    </w:p>
    <w:p w14:paraId="3DD580A2" w14:textId="77777777" w:rsidR="00FF4B40" w:rsidRDefault="00FF4B40">
      <w:pPr>
        <w:pBdr>
          <w:top w:val="nil"/>
          <w:left w:val="nil"/>
          <w:bottom w:val="nil"/>
          <w:right w:val="nil"/>
          <w:between w:val="nil"/>
        </w:pBdr>
        <w:rPr>
          <w:rFonts w:ascii="Libre Franklin" w:eastAsia="Libre Franklin" w:hAnsi="Libre Franklin" w:cs="Libre Franklin"/>
          <w:b/>
          <w:color w:val="000000"/>
          <w:sz w:val="28"/>
          <w:szCs w:val="28"/>
        </w:rPr>
      </w:pPr>
    </w:p>
    <w:p w14:paraId="42B4997F" w14:textId="77777777" w:rsidR="00FF4B40" w:rsidRDefault="00FF4B40">
      <w:pPr>
        <w:pBdr>
          <w:top w:val="nil"/>
          <w:left w:val="nil"/>
          <w:bottom w:val="nil"/>
          <w:right w:val="nil"/>
          <w:between w:val="nil"/>
        </w:pBdr>
        <w:rPr>
          <w:rFonts w:ascii="Libre Franklin" w:eastAsia="Libre Franklin" w:hAnsi="Libre Franklin" w:cs="Libre Franklin"/>
          <w:color w:val="000000"/>
          <w:sz w:val="28"/>
          <w:szCs w:val="28"/>
        </w:rPr>
      </w:pPr>
    </w:p>
    <w:p w14:paraId="25718464" w14:textId="77777777" w:rsidR="00FF4B40" w:rsidRDefault="00A07A2E">
      <w:pPr>
        <w:pBdr>
          <w:top w:val="nil"/>
          <w:left w:val="nil"/>
          <w:bottom w:val="nil"/>
          <w:right w:val="nil"/>
          <w:between w:val="nil"/>
        </w:pBdr>
        <w:rPr>
          <w:rFonts w:ascii="Libre Franklin" w:eastAsia="Libre Franklin" w:hAnsi="Libre Franklin" w:cs="Libre Franklin"/>
          <w:sz w:val="28"/>
          <w:szCs w:val="28"/>
        </w:rPr>
      </w:pPr>
      <w:r>
        <w:br w:type="page"/>
      </w:r>
    </w:p>
    <w:p w14:paraId="0EF0AF59" w14:textId="77777777" w:rsidR="00FF4B40" w:rsidRDefault="00A07A2E">
      <w:pPr>
        <w:pBdr>
          <w:top w:val="nil"/>
          <w:left w:val="nil"/>
          <w:bottom w:val="nil"/>
          <w:right w:val="nil"/>
          <w:between w:val="nil"/>
        </w:pBdr>
        <w:rPr>
          <w:rFonts w:ascii="Libre Franklin" w:eastAsia="Libre Franklin" w:hAnsi="Libre Franklin" w:cs="Libre Franklin"/>
          <w:b/>
          <w:color w:val="000000"/>
          <w:sz w:val="28"/>
          <w:szCs w:val="28"/>
        </w:rPr>
      </w:pPr>
      <w:r>
        <w:rPr>
          <w:rFonts w:ascii="Libre Franklin" w:eastAsia="Libre Franklin" w:hAnsi="Libre Franklin" w:cs="Libre Franklin"/>
          <w:color w:val="000000"/>
          <w:sz w:val="28"/>
          <w:szCs w:val="28"/>
        </w:rPr>
        <w:lastRenderedPageBreak/>
        <w:t>Plāna izvērtēšana un pārskatīšana</w:t>
      </w:r>
    </w:p>
    <w:p w14:paraId="42839397" w14:textId="77777777" w:rsidR="00FF4B40" w:rsidRDefault="00A07A2E">
      <w:pPr>
        <w:pBdr>
          <w:top w:val="nil"/>
          <w:left w:val="nil"/>
          <w:bottom w:val="nil"/>
          <w:right w:val="nil"/>
          <w:between w:val="nil"/>
        </w:pBdr>
        <w:rPr>
          <w:rFonts w:ascii="Libre Franklin" w:eastAsia="Libre Franklin" w:hAnsi="Libre Franklin" w:cs="Libre Franklin"/>
          <w:b/>
          <w:color w:val="000000"/>
          <w:sz w:val="28"/>
          <w:szCs w:val="28"/>
        </w:rPr>
      </w:pPr>
      <w:r>
        <w:rPr>
          <w:color w:val="000000"/>
        </w:rPr>
        <w:t>Aprakstiet procesu, kā jūs novērtējat plānu īstenošanu un sasniegtos rezultātus.  Kā šī informācija tiek izmantota, lai pārskatītu plānus, lai nodrošinātu, ka jūs sasniedzat vēlamos rezultātus?</w:t>
      </w:r>
      <w:r>
        <w:rPr>
          <w:rFonts w:ascii="Libre Franklin" w:eastAsia="Libre Franklin" w:hAnsi="Libre Franklin" w:cs="Libre Franklin"/>
          <w:b/>
          <w:color w:val="000000"/>
          <w:sz w:val="28"/>
          <w:szCs w:val="28"/>
        </w:rPr>
        <w:br/>
      </w:r>
    </w:p>
    <w:tbl>
      <w:tblPr>
        <w:tblStyle w:val="af8"/>
        <w:tblW w:w="143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90"/>
      </w:tblGrid>
      <w:tr w:rsidR="00FF4B40" w14:paraId="1BF7224F" w14:textId="77777777">
        <w:tc>
          <w:tcPr>
            <w:tcW w:w="14390" w:type="dxa"/>
            <w:shd w:val="clear" w:color="auto" w:fill="BFBFBF"/>
          </w:tcPr>
          <w:p w14:paraId="4CC1F2C7" w14:textId="77777777" w:rsidR="00FF4B40" w:rsidRDefault="00FF4B40">
            <w:pPr>
              <w:pBdr>
                <w:top w:val="nil"/>
                <w:left w:val="nil"/>
                <w:bottom w:val="nil"/>
                <w:right w:val="nil"/>
                <w:between w:val="nil"/>
              </w:pBdr>
              <w:jc w:val="center"/>
              <w:rPr>
                <w:b/>
                <w:color w:val="000000"/>
                <w:sz w:val="20"/>
                <w:szCs w:val="20"/>
              </w:rPr>
            </w:pPr>
            <w:bookmarkStart w:id="2" w:name="_heading=h.3znysh7" w:colFirst="0" w:colLast="0"/>
            <w:bookmarkEnd w:id="2"/>
          </w:p>
          <w:p w14:paraId="478B9DD9" w14:textId="77777777" w:rsidR="00FF4B40" w:rsidRDefault="00A07A2E">
            <w:pPr>
              <w:pBdr>
                <w:top w:val="nil"/>
                <w:left w:val="nil"/>
                <w:bottom w:val="nil"/>
                <w:right w:val="nil"/>
                <w:between w:val="nil"/>
              </w:pBdr>
              <w:jc w:val="center"/>
              <w:rPr>
                <w:b/>
                <w:color w:val="000000"/>
                <w:sz w:val="20"/>
                <w:szCs w:val="20"/>
              </w:rPr>
            </w:pPr>
            <w:r>
              <w:rPr>
                <w:b/>
                <w:color w:val="000000"/>
                <w:sz w:val="20"/>
                <w:szCs w:val="20"/>
              </w:rPr>
              <w:t>Jūsu nepārtrauktās uzlabošanas plāna īstenošanas un rezultātu novērtēšanas process</w:t>
            </w:r>
          </w:p>
          <w:p w14:paraId="52337AB4" w14:textId="77777777" w:rsidR="00FF4B40" w:rsidRDefault="00FF4B40">
            <w:pPr>
              <w:pBdr>
                <w:top w:val="nil"/>
                <w:left w:val="nil"/>
                <w:bottom w:val="nil"/>
                <w:right w:val="nil"/>
                <w:between w:val="nil"/>
              </w:pBdr>
              <w:jc w:val="center"/>
              <w:rPr>
                <w:rFonts w:ascii="Times New Roman" w:eastAsia="Times New Roman" w:hAnsi="Times New Roman" w:cs="Times New Roman"/>
                <w:b/>
                <w:color w:val="000000"/>
                <w:sz w:val="20"/>
                <w:szCs w:val="20"/>
              </w:rPr>
            </w:pPr>
          </w:p>
        </w:tc>
      </w:tr>
      <w:tr w:rsidR="00FF4B40" w14:paraId="2EBA8BF3" w14:textId="77777777">
        <w:tc>
          <w:tcPr>
            <w:tcW w:w="14390" w:type="dxa"/>
          </w:tcPr>
          <w:p w14:paraId="72EBFF25" w14:textId="77777777" w:rsidR="00FF4B40" w:rsidRDefault="00A07A2E">
            <w:pPr>
              <w:pBdr>
                <w:top w:val="nil"/>
                <w:left w:val="nil"/>
                <w:bottom w:val="nil"/>
                <w:right w:val="nil"/>
                <w:between w:val="nil"/>
              </w:pBdr>
              <w:spacing w:after="240"/>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CIP ieviešanas novērtēšanas process</w:t>
            </w:r>
          </w:p>
          <w:p w14:paraId="62A83576" w14:textId="77777777" w:rsidR="00FF4B40" w:rsidRDefault="00A07A2E">
            <w:pPr>
              <w:numPr>
                <w:ilvl w:val="0"/>
                <w:numId w:val="3"/>
              </w:numPr>
              <w:pBdr>
                <w:top w:val="nil"/>
                <w:left w:val="nil"/>
                <w:bottom w:val="nil"/>
                <w:right w:val="nil"/>
                <w:between w:val="nil"/>
              </w:pBdr>
              <w:spacing w:after="2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JES vadības komandai (direktoram un dažādu skolotāju komandu pārstāvjiem) galvenā loma būs pārraudzīt nepārtrauktu uzlabošanas procesu.  Viņi tiekas divas reizes mēnesī, lai pārskatītu progresu skolotāju komandām akadēmiskajos un drošos un veselīgas skolas mērķu sasniegšanā. Locekļi apmeklē arī iknedēļas personāla PLC sanāksmes</w:t>
            </w:r>
          </w:p>
          <w:p w14:paraId="6A17D5D8" w14:textId="77777777" w:rsidR="00FF4B40" w:rsidRDefault="00A07A2E">
            <w:pPr>
              <w:numPr>
                <w:ilvl w:val="0"/>
                <w:numId w:val="3"/>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2024. gada pavasarī JES mācību un uzvedības darbinieki tiksies, lai pabeigtu "Datu inventarizācijas informāciju 2023.-2024. gadam", lai novērtētu mūsu pašreizējo CIP un izstrādātu mūsu nākotnes skolas plānus. Darbiniekiem tiks lūgts analizēt studentu novērtējumu un anekdotiskos datus un atbildēt uz daudziem jautājumiem par to, kā mūsu studenti ir darbojušies un kādas stratēģijas un iejaukšanās palīdzētu studentiem, kuri neatbilst valsts akadēmiskajiem standartiem.</w:t>
            </w:r>
          </w:p>
          <w:p w14:paraId="2F73A17A" w14:textId="77777777" w:rsidR="00FF4B40" w:rsidRDefault="00FF4B40">
            <w:pPr>
              <w:pBdr>
                <w:top w:val="nil"/>
                <w:left w:val="nil"/>
                <w:bottom w:val="nil"/>
                <w:right w:val="nil"/>
                <w:between w:val="nil"/>
              </w:pBdr>
              <w:rPr>
                <w:rFonts w:ascii="Times New Roman" w:eastAsia="Times New Roman" w:hAnsi="Times New Roman" w:cs="Times New Roman"/>
                <w:color w:val="000000"/>
                <w:sz w:val="24"/>
                <w:szCs w:val="24"/>
              </w:rPr>
            </w:pPr>
          </w:p>
          <w:p w14:paraId="02068F47" w14:textId="77777777" w:rsidR="00FF4B40" w:rsidRDefault="00A07A2E">
            <w:pPr>
              <w:pBdr>
                <w:top w:val="nil"/>
                <w:left w:val="nil"/>
                <w:bottom w:val="nil"/>
                <w:right w:val="nil"/>
                <w:between w:val="nil"/>
              </w:pBdr>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Veiksmīgas īstenošanas rezultāti</w:t>
            </w:r>
          </w:p>
          <w:p w14:paraId="50B354FC" w14:textId="77777777" w:rsidR="00FF4B40" w:rsidRDefault="00FF4B40">
            <w:pPr>
              <w:pBdr>
                <w:top w:val="nil"/>
                <w:left w:val="nil"/>
                <w:bottom w:val="nil"/>
                <w:right w:val="nil"/>
                <w:between w:val="nil"/>
              </w:pBdr>
              <w:rPr>
                <w:rFonts w:ascii="Times New Roman" w:eastAsia="Times New Roman" w:hAnsi="Times New Roman" w:cs="Times New Roman"/>
                <w:color w:val="000000"/>
                <w:sz w:val="24"/>
                <w:szCs w:val="24"/>
              </w:rPr>
            </w:pPr>
          </w:p>
          <w:p w14:paraId="0AD01840" w14:textId="77777777" w:rsidR="00FF4B40" w:rsidRDefault="00A07A2E">
            <w:pPr>
              <w:numPr>
                <w:ilvl w:val="0"/>
                <w:numId w:val="3"/>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Skolēni mācīsies augstākā līmenī, par ko liecina to skolēnu skaita pieaugums, kas veic SBAC, Fountas un Pinell, MAP un Bridges novērtējumu klases līmenī.</w:t>
            </w:r>
          </w:p>
          <w:p w14:paraId="6C3F0B6A" w14:textId="77777777" w:rsidR="00FF4B40" w:rsidRDefault="00A07A2E">
            <w:pPr>
              <w:numPr>
                <w:ilvl w:val="0"/>
                <w:numId w:val="3"/>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Studenti jutīsies spēcīgāka piederības sajūta (turklāt vairāk studentu jutīsies piederīgi), par ko liecina biroja nosūtījumu skaita samazināšanās un augsta apmierinātība ar studentu SEL aptauju</w:t>
            </w:r>
          </w:p>
          <w:p w14:paraId="49A5DC3D" w14:textId="77777777" w:rsidR="00FF4B40" w:rsidRDefault="00A07A2E">
            <w:pPr>
              <w:numPr>
                <w:ilvl w:val="0"/>
                <w:numId w:val="3"/>
              </w:num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Samazināsies studentu skaits, kas ziņo, ka viņiem nav uzticama pieaugušā JES</w:t>
            </w:r>
          </w:p>
          <w:p w14:paraId="7AFEFE3A" w14:textId="77777777" w:rsidR="00FF4B40" w:rsidRDefault="00A07A2E">
            <w:pPr>
              <w:numPr>
                <w:ilvl w:val="0"/>
                <w:numId w:val="3"/>
              </w:numPr>
              <w:pBdr>
                <w:top w:val="nil"/>
                <w:left w:val="nil"/>
                <w:bottom w:val="nil"/>
                <w:right w:val="nil"/>
                <w:between w:val="nil"/>
              </w:pBdr>
              <w:rPr>
                <w:rFonts w:ascii="Times New Roman" w:eastAsia="Times New Roman" w:hAnsi="Times New Roman" w:cs="Times New Roman"/>
                <w:color w:val="000000"/>
                <w:sz w:val="24"/>
                <w:szCs w:val="24"/>
              </w:rPr>
            </w:pPr>
            <w:bookmarkStart w:id="3" w:name="_heading=h.2et92p0" w:colFirst="0" w:colLast="0"/>
            <w:bookmarkEnd w:id="3"/>
            <w:r>
              <w:rPr>
                <w:rFonts w:ascii="Times New Roman" w:eastAsia="Times New Roman" w:hAnsi="Times New Roman" w:cs="Times New Roman"/>
                <w:color w:val="000000"/>
                <w:sz w:val="24"/>
                <w:szCs w:val="24"/>
              </w:rPr>
              <w:t xml:space="preserve">Skolotājiem būs lielākas prasmes īstenot saskaņotu mācību programmu un radīt pozitīvu klases klimatu, kas audzina skolēnus augt līdz optimālai attīstībai. </w:t>
            </w:r>
          </w:p>
          <w:p w14:paraId="236BF0C2" w14:textId="77777777" w:rsidR="00FF4B40" w:rsidRDefault="00A07A2E">
            <w:pPr>
              <w:numPr>
                <w:ilvl w:val="0"/>
                <w:numId w:val="3"/>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Mēs redzēsim atvaļinājuma samazināšanos </w:t>
            </w:r>
          </w:p>
          <w:p w14:paraId="7EFFF559"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p w14:paraId="3C746459"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p w14:paraId="583A7E53"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p w14:paraId="570D27BE" w14:textId="77777777"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tc>
      </w:tr>
    </w:tbl>
    <w:p w14:paraId="4597C0A5" w14:textId="4569D3EF" w:rsidR="00FF4B40" w:rsidRDefault="00FF4B40">
      <w:pPr>
        <w:pBdr>
          <w:top w:val="nil"/>
          <w:left w:val="nil"/>
          <w:bottom w:val="nil"/>
          <w:right w:val="nil"/>
          <w:between w:val="nil"/>
        </w:pBdr>
        <w:rPr>
          <w:rFonts w:ascii="Times New Roman" w:eastAsia="Times New Roman" w:hAnsi="Times New Roman" w:cs="Times New Roman"/>
          <w:b/>
          <w:color w:val="000000"/>
          <w:sz w:val="24"/>
          <w:szCs w:val="24"/>
        </w:rPr>
      </w:pPr>
    </w:p>
    <w:sectPr w:rsidR="00FF4B40">
      <w:footerReference w:type="default" r:id="rId11"/>
      <w:headerReference w:type="first" r:id="rId12"/>
      <w:pgSz w:w="15840" w:h="12240" w:orient="landscape"/>
      <w:pgMar w:top="1440" w:right="720" w:bottom="1440" w:left="720" w:header="72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E6433" w14:textId="77777777" w:rsidR="0022269E" w:rsidRDefault="0022269E">
      <w:r>
        <w:separator/>
      </w:r>
    </w:p>
  </w:endnote>
  <w:endnote w:type="continuationSeparator" w:id="0">
    <w:p w14:paraId="38426264" w14:textId="77777777" w:rsidR="0022269E" w:rsidRDefault="00222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906B54E-D06A-3C4A-80B8-2866FDB9B6F0}"/>
    <w:embedBold r:id="rId2" w:fontKey="{57130468-2D8A-5D48-AC4E-42D3F37A9406}"/>
    <w:embedItalic r:id="rId3" w:fontKey="{A8ACBC76-D2F6-7443-AE44-928647B33D28}"/>
    <w:embedBoldItalic r:id="rId4" w:fontKey="{D16C13F9-E1E2-0341-B6CC-7310534E6A7B}"/>
  </w:font>
  <w:font w:name="Courier New">
    <w:panose1 w:val="02070309020205020404"/>
    <w:charset w:val="00"/>
    <w:family w:val="modern"/>
    <w:pitch w:val="fixed"/>
    <w:sig w:usb0="E0002AFF" w:usb1="C0007843" w:usb2="00000009" w:usb3="00000000" w:csb0="000001FF" w:csb1="00000000"/>
    <w:embedRegular r:id="rId5" w:fontKey="{B1BDC1CD-7DB5-CD48-B2EA-537CECB74C26}"/>
  </w:font>
  <w:font w:name="Noto Sans Symbols">
    <w:charset w:val="00"/>
    <w:family w:val="auto"/>
    <w:pitch w:val="default"/>
    <w:embedRegular r:id="rId6" w:fontKey="{631FDF27-8A92-6B4D-8F88-304E4FA059FB}"/>
  </w:font>
  <w:font w:name="Palatino Linotype">
    <w:panose1 w:val="02040502050505030304"/>
    <w:charset w:val="00"/>
    <w:family w:val="roman"/>
    <w:pitch w:val="variable"/>
    <w:sig w:usb0="E0000287" w:usb1="40000013" w:usb2="00000000" w:usb3="00000000" w:csb0="0000019F" w:csb1="00000000"/>
    <w:embedRegular r:id="rId7" w:fontKey="{36E8AF91-A653-7C4D-8D17-1AEA6F814021}"/>
    <w:embedBold r:id="rId8" w:fontKey="{1BDBBB6A-E4D4-1644-B3CB-E43AF280B592}"/>
    <w:embedItalic r:id="rId9" w:fontKey="{62A7F44C-0CDB-E64A-B957-24C5F2F0C3D5}"/>
  </w:font>
  <w:font w:name="Franklin Gothic Demi Cond">
    <w:panose1 w:val="020B0706030402020204"/>
    <w:charset w:val="00"/>
    <w:family w:val="swiss"/>
    <w:pitch w:val="variable"/>
    <w:sig w:usb0="00000287" w:usb1="00000000" w:usb2="00000000" w:usb3="00000000" w:csb0="0000009F" w:csb1="00000000"/>
    <w:embedRegular r:id="rId10" w:fontKey="{DF2DD4C6-6D6B-B84B-9F79-A3B6F8511300}"/>
  </w:font>
  <w:font w:name="Franklin Gothic Demi">
    <w:panose1 w:val="020B0703020102020204"/>
    <w:charset w:val="00"/>
    <w:family w:val="swiss"/>
    <w:pitch w:val="variable"/>
    <w:sig w:usb0="00000287" w:usb1="00000000" w:usb2="00000000" w:usb3="00000000" w:csb0="0000009F" w:csb1="00000000"/>
    <w:embedRegular r:id="rId11" w:fontKey="{69E20452-36B2-4A48-B74A-DDB783398FCE}"/>
    <w:embedItalic r:id="rId12" w:fontKey="{6B86B289-91DE-6F42-BAF0-468E9512CA0F}"/>
  </w:font>
  <w:font w:name="Calibri">
    <w:panose1 w:val="020F0502020204030204"/>
    <w:charset w:val="00"/>
    <w:family w:val="swiss"/>
    <w:pitch w:val="variable"/>
    <w:sig w:usb0="E0002AFF" w:usb1="C000247B" w:usb2="00000009" w:usb3="00000000" w:csb0="000001FF" w:csb1="00000000"/>
    <w:embedRegular r:id="rId13" w:fontKey="{577D6CEA-7E83-C74E-96BD-2A735356D96B}"/>
    <w:embedBold r:id="rId14" w:fontKey="{231F9101-A0E9-2D4E-BEE5-62AAA68B597B}"/>
  </w:font>
  <w:font w:name="Tahoma">
    <w:panose1 w:val="020B0604030504040204"/>
    <w:charset w:val="00"/>
    <w:family w:val="swiss"/>
    <w:pitch w:val="variable"/>
    <w:sig w:usb0="E1002EFF" w:usb1="C000605B" w:usb2="00000029" w:usb3="00000000" w:csb0="000101FF" w:csb1="00000000"/>
    <w:embedRegular r:id="rId15" w:fontKey="{1C667CAF-3D0E-0F4E-B57A-6D81E0DAE178}"/>
  </w:font>
  <w:font w:name="Georgia">
    <w:panose1 w:val="02040502050405020303"/>
    <w:charset w:val="00"/>
    <w:family w:val="roman"/>
    <w:pitch w:val="variable"/>
    <w:sig w:usb0="00000287" w:usb1="00000000" w:usb2="00000000" w:usb3="00000000" w:csb0="0000009F" w:csb1="00000000"/>
    <w:embedRegular r:id="rId16" w:fontKey="{705AAE23-FF5B-7145-81CF-6A59923455BF}"/>
    <w:embedItalic r:id="rId17" w:fontKey="{86CDA55A-8E7F-224D-9D15-F7E50AFDCA0A}"/>
  </w:font>
  <w:font w:name="Libre Franklin">
    <w:panose1 w:val="00000000000000000000"/>
    <w:charset w:val="4D"/>
    <w:family w:val="auto"/>
    <w:pitch w:val="variable"/>
    <w:sig w:usb0="A00000FF" w:usb1="4000205B" w:usb2="00000000" w:usb3="00000000" w:csb0="00000193" w:csb1="00000000"/>
    <w:embedRegular r:id="rId18" w:fontKey="{8304E487-183E-984F-AF7D-B0167E98808F}"/>
    <w:embedBold r:id="rId19" w:fontKey="{8DF9CAD3-5711-9346-BE98-3EF7660326AA}"/>
  </w:font>
  <w:font w:name="Cambria">
    <w:panose1 w:val="02040503050406030204"/>
    <w:charset w:val="00"/>
    <w:family w:val="roman"/>
    <w:pitch w:val="variable"/>
    <w:sig w:usb0="E00006FF" w:usb1="420024FF" w:usb2="02000000" w:usb3="00000000" w:csb0="0000019F" w:csb1="00000000"/>
    <w:embedRegular r:id="rId20" w:fontKey="{714AD3FC-19AA-FB42-889D-E798C16DFC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E1318" w14:textId="77777777" w:rsidR="00FF4B40" w:rsidRDefault="00FF4B40">
    <w:pPr>
      <w:pBdr>
        <w:top w:val="nil"/>
        <w:left w:val="nil"/>
        <w:bottom w:val="nil"/>
        <w:right w:val="nil"/>
        <w:between w:val="nil"/>
      </w:pBdr>
      <w:spacing w:line="276" w:lineRule="auto"/>
      <w:rPr>
        <w:color w:val="000000"/>
        <w:sz w:val="2"/>
        <w:szCs w:val="2"/>
      </w:rPr>
    </w:pPr>
  </w:p>
  <w:tbl>
    <w:tblPr>
      <w:tblStyle w:val="afa"/>
      <w:tblW w:w="14400" w:type="dxa"/>
      <w:tblInd w:w="-115" w:type="dxa"/>
      <w:tblBorders>
        <w:top w:val="single" w:sz="4" w:space="0" w:color="000000"/>
        <w:left w:val="nil"/>
        <w:bottom w:val="nil"/>
        <w:right w:val="nil"/>
        <w:insideH w:val="nil"/>
        <w:insideV w:val="nil"/>
      </w:tblBorders>
      <w:tblLayout w:type="fixed"/>
      <w:tblLook w:val="0400" w:firstRow="0" w:lastRow="0" w:firstColumn="0" w:lastColumn="0" w:noHBand="0" w:noVBand="1"/>
    </w:tblPr>
    <w:tblGrid>
      <w:gridCol w:w="4800"/>
      <w:gridCol w:w="4797"/>
      <w:gridCol w:w="4803"/>
    </w:tblGrid>
    <w:tr w:rsidR="00FF4B40" w14:paraId="75CBAF51" w14:textId="77777777">
      <w:trPr>
        <w:trHeight w:val="633"/>
        <w:tblHeader/>
      </w:trPr>
      <w:tc>
        <w:tcPr>
          <w:tcW w:w="4800" w:type="dxa"/>
        </w:tcPr>
        <w:p w14:paraId="470F5224" w14:textId="77777777" w:rsidR="00FF4B40" w:rsidRDefault="00A07A2E">
          <w:pPr>
            <w:pBdr>
              <w:top w:val="nil"/>
              <w:left w:val="nil"/>
              <w:bottom w:val="nil"/>
              <w:right w:val="nil"/>
              <w:between w:val="nil"/>
            </w:pBdr>
            <w:tabs>
              <w:tab w:val="left" w:pos="4680"/>
              <w:tab w:val="right" w:pos="9360"/>
            </w:tabs>
            <w:rPr>
              <w:color w:val="000000"/>
              <w:sz w:val="20"/>
              <w:szCs w:val="20"/>
            </w:rPr>
          </w:pPr>
          <w:r>
            <w:rPr>
              <w:color w:val="000000"/>
              <w:sz w:val="20"/>
              <w:szCs w:val="20"/>
            </w:rPr>
            <w:t xml:space="preserve">Nepārtrauktas uzlabošanas plāns(pārskatīts: </w:t>
          </w:r>
          <w:r>
            <w:rPr>
              <w:sz w:val="20"/>
              <w:szCs w:val="20"/>
            </w:rPr>
            <w:t xml:space="preserve">2024. </w:t>
          </w:r>
          <w:r>
            <w:rPr>
              <w:color w:val="000000"/>
              <w:sz w:val="20"/>
              <w:szCs w:val="20"/>
            </w:rPr>
            <w:t>gada 15. jūlijs)</w:t>
          </w:r>
        </w:p>
      </w:tc>
      <w:tc>
        <w:tcPr>
          <w:tcW w:w="4797" w:type="dxa"/>
        </w:tcPr>
        <w:p w14:paraId="31CF016D" w14:textId="77777777" w:rsidR="00FF4B40" w:rsidRDefault="00A07A2E">
          <w:pPr>
            <w:pBdr>
              <w:top w:val="nil"/>
              <w:left w:val="nil"/>
              <w:bottom w:val="nil"/>
              <w:right w:val="nil"/>
              <w:between w:val="nil"/>
            </w:pBdr>
            <w:tabs>
              <w:tab w:val="left" w:pos="4680"/>
              <w:tab w:val="right" w:pos="9360"/>
            </w:tabs>
            <w:jc w:val="center"/>
            <w:rPr>
              <w:color w:val="000000"/>
              <w:sz w:val="20"/>
              <w:szCs w:val="20"/>
            </w:rPr>
          </w:pPr>
          <w:r>
            <w:rPr>
              <w:color w:val="000000"/>
              <w:sz w:val="20"/>
              <w:szCs w:val="20"/>
            </w:rPr>
            <w:t xml:space="preserve">Lappuse </w:t>
          </w:r>
          <w:r>
            <w:rPr>
              <w:b/>
              <w:color w:val="000000"/>
              <w:sz w:val="20"/>
              <w:szCs w:val="20"/>
            </w:rPr>
            <w:fldChar w:fldCharType="begin"/>
          </w:r>
          <w:r>
            <w:rPr>
              <w:b/>
              <w:color w:val="000000"/>
              <w:sz w:val="20"/>
              <w:szCs w:val="20"/>
            </w:rPr>
            <w:instrText>PAGE</w:instrText>
          </w:r>
          <w:r>
            <w:rPr>
              <w:b/>
              <w:color w:val="000000"/>
              <w:sz w:val="20"/>
              <w:szCs w:val="20"/>
            </w:rPr>
            <w:fldChar w:fldCharType="separate"/>
          </w:r>
          <w:r>
            <w:rPr>
              <w:b/>
              <w:noProof/>
              <w:color w:val="000000"/>
              <w:sz w:val="20"/>
              <w:szCs w:val="20"/>
            </w:rPr>
            <w:t>2</w:t>
          </w:r>
          <w:r>
            <w:rPr>
              <w:b/>
              <w:color w:val="000000"/>
              <w:sz w:val="20"/>
              <w:szCs w:val="20"/>
            </w:rPr>
            <w:fldChar w:fldCharType="end"/>
          </w:r>
          <w:r>
            <w:rPr>
              <w:color w:val="000000"/>
              <w:sz w:val="20"/>
              <w:szCs w:val="20"/>
            </w:rPr>
            <w:t xml:space="preserve"> no </w:t>
          </w:r>
          <w:r>
            <w:rPr>
              <w:color w:val="000000"/>
              <w:sz w:val="20"/>
              <w:szCs w:val="20"/>
            </w:rPr>
            <w:fldChar w:fldCharType="begin"/>
          </w:r>
          <w:r>
            <w:rPr>
              <w:color w:val="000000"/>
              <w:sz w:val="20"/>
              <w:szCs w:val="20"/>
            </w:rPr>
            <w:instrText>NUMPAGES</w:instrText>
          </w:r>
          <w:r>
            <w:rPr>
              <w:color w:val="000000"/>
              <w:sz w:val="20"/>
              <w:szCs w:val="20"/>
            </w:rPr>
            <w:fldChar w:fldCharType="separate"/>
          </w:r>
          <w:r>
            <w:rPr>
              <w:noProof/>
              <w:color w:val="000000"/>
              <w:sz w:val="20"/>
              <w:szCs w:val="20"/>
            </w:rPr>
            <w:t>3</w:t>
          </w:r>
          <w:r>
            <w:rPr>
              <w:color w:val="000000"/>
              <w:sz w:val="20"/>
              <w:szCs w:val="20"/>
            </w:rPr>
            <w:fldChar w:fldCharType="end"/>
          </w:r>
        </w:p>
      </w:tc>
      <w:tc>
        <w:tcPr>
          <w:tcW w:w="4803" w:type="dxa"/>
        </w:tcPr>
        <w:p w14:paraId="6D767DF9" w14:textId="77777777" w:rsidR="00FF4B40" w:rsidRDefault="00A07A2E">
          <w:pPr>
            <w:pBdr>
              <w:top w:val="nil"/>
              <w:left w:val="nil"/>
              <w:bottom w:val="nil"/>
              <w:right w:val="nil"/>
              <w:between w:val="nil"/>
            </w:pBdr>
            <w:tabs>
              <w:tab w:val="left" w:pos="4680"/>
              <w:tab w:val="right" w:pos="9360"/>
            </w:tabs>
            <w:jc w:val="right"/>
            <w:rPr>
              <w:color w:val="000000"/>
              <w:sz w:val="20"/>
              <w:szCs w:val="20"/>
            </w:rPr>
          </w:pPr>
          <w:r>
            <w:rPr>
              <w:noProof/>
              <w:color w:val="000000"/>
              <w:sz w:val="20"/>
              <w:szCs w:val="20"/>
            </w:rPr>
            <w:drawing>
              <wp:inline distT="0" distB="0" distL="0" distR="0" wp14:anchorId="123A737A" wp14:editId="676CD992">
                <wp:extent cx="1458349" cy="365760"/>
                <wp:effectExtent l="0" t="0" r="0" b="0"/>
                <wp:docPr id="13" name="image2.png" descr="AOE logotips"/>
                <wp:cNvGraphicFramePr/>
                <a:graphic xmlns:a="http://schemas.openxmlformats.org/drawingml/2006/main">
                  <a:graphicData uri="http://schemas.openxmlformats.org/drawingml/2006/picture">
                    <pic:pic xmlns:pic="http://schemas.openxmlformats.org/drawingml/2006/picture">
                      <pic:nvPicPr>
                        <pic:cNvPr id="0" name="image2.png" descr="AOE logo"/>
                        <pic:cNvPicPr preferRelativeResize="0"/>
                      </pic:nvPicPr>
                      <pic:blipFill>
                        <a:blip r:embed="rId1"/>
                        <a:srcRect/>
                        <a:stretch>
                          <a:fillRect/>
                        </a:stretch>
                      </pic:blipFill>
                      <pic:spPr>
                        <a:xfrm>
                          <a:off x="0" y="0"/>
                          <a:ext cx="1458349" cy="365760"/>
                        </a:xfrm>
                        <a:prstGeom prst="rect">
                          <a:avLst/>
                        </a:prstGeom>
                        <a:ln/>
                      </pic:spPr>
                    </pic:pic>
                  </a:graphicData>
                </a:graphic>
              </wp:inline>
            </w:drawing>
          </w:r>
        </w:p>
      </w:tc>
    </w:tr>
  </w:tbl>
  <w:p w14:paraId="2211ABFE" w14:textId="77777777" w:rsidR="00FF4B40" w:rsidRDefault="00FF4B40">
    <w:pPr>
      <w:pBdr>
        <w:top w:val="nil"/>
        <w:left w:val="nil"/>
        <w:bottom w:val="nil"/>
        <w:right w:val="nil"/>
        <w:between w:val="nil"/>
      </w:pBdr>
      <w:tabs>
        <w:tab w:val="left" w:pos="4680"/>
        <w:tab w:val="right" w:pos="9360"/>
      </w:tabs>
      <w:rPr>
        <w:color w:val="000000"/>
        <w:sz w:val="4"/>
        <w:szCs w:val="4"/>
      </w:rPr>
    </w:pPr>
  </w:p>
  <w:p w14:paraId="1AFFE29A" w14:textId="77777777" w:rsidR="00FF4B40" w:rsidRDefault="00FF4B40">
    <w:pPr>
      <w:pBdr>
        <w:top w:val="nil"/>
        <w:left w:val="nil"/>
        <w:bottom w:val="nil"/>
        <w:right w:val="nil"/>
        <w:between w:val="nil"/>
      </w:pBdr>
      <w:tabs>
        <w:tab w:val="left" w:pos="4680"/>
        <w:tab w:val="right" w:pos="9360"/>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DC70B" w14:textId="77777777" w:rsidR="0022269E" w:rsidRDefault="0022269E">
      <w:r>
        <w:separator/>
      </w:r>
    </w:p>
  </w:footnote>
  <w:footnote w:type="continuationSeparator" w:id="0">
    <w:p w14:paraId="2B26AE15" w14:textId="77777777" w:rsidR="0022269E" w:rsidRDefault="002226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881D9" w14:textId="77777777" w:rsidR="00FF4B40" w:rsidRDefault="00FF4B40">
    <w:pPr>
      <w:pBdr>
        <w:top w:val="nil"/>
        <w:left w:val="nil"/>
        <w:bottom w:val="nil"/>
        <w:right w:val="nil"/>
        <w:between w:val="nil"/>
      </w:pBdr>
      <w:spacing w:line="276" w:lineRule="auto"/>
      <w:rPr>
        <w:rFonts w:ascii="Times New Roman" w:eastAsia="Times New Roman" w:hAnsi="Times New Roman" w:cs="Times New Roman"/>
        <w:b/>
        <w:color w:val="000000"/>
        <w:sz w:val="24"/>
        <w:szCs w:val="24"/>
      </w:rPr>
    </w:pPr>
  </w:p>
  <w:tbl>
    <w:tblPr>
      <w:tblStyle w:val="af9"/>
      <w:tblW w:w="14585" w:type="dxa"/>
      <w:tblInd w:w="-383" w:type="dxa"/>
      <w:tblBorders>
        <w:top w:val="nil"/>
        <w:left w:val="nil"/>
        <w:bottom w:val="single" w:sz="8" w:space="0" w:color="000000"/>
        <w:right w:val="nil"/>
        <w:insideH w:val="nil"/>
        <w:insideV w:val="nil"/>
      </w:tblBorders>
      <w:tblLayout w:type="fixed"/>
      <w:tblLook w:val="0400" w:firstRow="0" w:lastRow="0" w:firstColumn="0" w:lastColumn="0" w:noHBand="0" w:noVBand="1"/>
    </w:tblPr>
    <w:tblGrid>
      <w:gridCol w:w="9005"/>
      <w:gridCol w:w="5580"/>
    </w:tblGrid>
    <w:tr w:rsidR="00FF4B40" w14:paraId="14795AF2" w14:textId="77777777">
      <w:tc>
        <w:tcPr>
          <w:tcW w:w="9005" w:type="dxa"/>
        </w:tcPr>
        <w:p w14:paraId="23FA08F2" w14:textId="77777777" w:rsidR="00FF4B40" w:rsidRDefault="00A07A2E">
          <w:pPr>
            <w:pBdr>
              <w:top w:val="nil"/>
              <w:left w:val="nil"/>
              <w:bottom w:val="nil"/>
              <w:right w:val="nil"/>
              <w:between w:val="nil"/>
            </w:pBdr>
            <w:rPr>
              <w:color w:val="000000"/>
              <w:sz w:val="20"/>
              <w:szCs w:val="20"/>
            </w:rPr>
          </w:pPr>
          <w:bookmarkStart w:id="4" w:name="_heading=h.tyjcwt" w:colFirst="0" w:colLast="0"/>
          <w:bookmarkEnd w:id="4"/>
          <w:r>
            <w:rPr>
              <w:noProof/>
              <w:color w:val="000000"/>
            </w:rPr>
            <w:drawing>
              <wp:inline distT="0" distB="0" distL="0" distR="0" wp14:anchorId="55E3B677" wp14:editId="1BDBD9CF">
                <wp:extent cx="1576705" cy="411480"/>
                <wp:effectExtent l="0" t="0" r="0" b="0"/>
                <wp:docPr id="1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576705" cy="411480"/>
                        </a:xfrm>
                        <a:prstGeom prst="rect">
                          <a:avLst/>
                        </a:prstGeom>
                        <a:ln/>
                      </pic:spPr>
                    </pic:pic>
                  </a:graphicData>
                </a:graphic>
              </wp:inline>
            </w:drawing>
          </w:r>
        </w:p>
      </w:tc>
      <w:tc>
        <w:tcPr>
          <w:tcW w:w="5580" w:type="dxa"/>
        </w:tcPr>
        <w:p w14:paraId="4A35FEB6" w14:textId="77777777" w:rsidR="00FF4B40" w:rsidRDefault="00A07A2E">
          <w:pPr>
            <w:pBdr>
              <w:top w:val="nil"/>
              <w:left w:val="nil"/>
              <w:bottom w:val="nil"/>
              <w:right w:val="nil"/>
              <w:between w:val="nil"/>
            </w:pBdr>
            <w:rPr>
              <w:color w:val="000000"/>
              <w:sz w:val="20"/>
              <w:szCs w:val="20"/>
            </w:rPr>
          </w:pPr>
          <w:bookmarkStart w:id="5" w:name="_heading=h.3dy6vkm" w:colFirst="0" w:colLast="0"/>
          <w:bookmarkEnd w:id="5"/>
          <w:r>
            <w:rPr>
              <w:color w:val="000000"/>
              <w:sz w:val="20"/>
              <w:szCs w:val="20"/>
            </w:rPr>
            <w:t>1 National Life Drive, Davis 5, Monpeljē, VT 05620-2501(p) 802-828-1130 | f) 802-828-6430 | education.vermont.gov</w:t>
          </w:r>
        </w:p>
      </w:tc>
    </w:tr>
  </w:tbl>
  <w:p w14:paraId="0EA2ACB1" w14:textId="77777777" w:rsidR="00FF4B40" w:rsidRDefault="00FF4B40">
    <w:pPr>
      <w:pBdr>
        <w:top w:val="nil"/>
        <w:left w:val="nil"/>
        <w:bottom w:val="nil"/>
        <w:right w:val="nil"/>
        <w:between w:val="nil"/>
      </w:pBdr>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625C"/>
    <w:multiLevelType w:val="multilevel"/>
    <w:tmpl w:val="5DAAC2FE"/>
    <w:lvl w:ilvl="0">
      <w:start w:val="1"/>
      <w:numFmt w:val="decimal"/>
      <w:lvlText w:val="%1."/>
      <w:lvlJc w:val="left"/>
      <w:pPr>
        <w:ind w:left="360" w:hanging="360"/>
      </w:pPr>
      <w:rPr>
        <w:b w:val="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763166A"/>
    <w:multiLevelType w:val="multilevel"/>
    <w:tmpl w:val="439C39C6"/>
    <w:lvl w:ilvl="0">
      <w:start w:val="1"/>
      <w:numFmt w:val="decimal"/>
      <w:pStyle w:val="AOEBulletedLis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6A72FCB"/>
    <w:multiLevelType w:val="multilevel"/>
    <w:tmpl w:val="8E18A6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D92727D"/>
    <w:multiLevelType w:val="multilevel"/>
    <w:tmpl w:val="D5ACD9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8D91A95"/>
    <w:multiLevelType w:val="multilevel"/>
    <w:tmpl w:val="0694969C"/>
    <w:lvl w:ilvl="0">
      <w:start w:val="1"/>
      <w:numFmt w:val="bullet"/>
      <w:lvlText w:val="●"/>
      <w:lvlJc w:val="left"/>
      <w:pPr>
        <w:ind w:left="0" w:hanging="360"/>
      </w:pPr>
      <w:rPr>
        <w:rFonts w:ascii="Noto Sans Symbols" w:eastAsia="Noto Sans Symbols" w:hAnsi="Noto Sans Symbols" w:cs="Noto Sans Symbols"/>
        <w:sz w:val="20"/>
        <w:szCs w:val="20"/>
      </w:rPr>
    </w:lvl>
    <w:lvl w:ilvl="1">
      <w:start w:val="1"/>
      <w:numFmt w:val="decimal"/>
      <w:lvlText w:val="%2."/>
      <w:lvlJc w:val="left"/>
      <w:pPr>
        <w:ind w:left="720" w:hanging="360"/>
      </w:pPr>
    </w:lvl>
    <w:lvl w:ilvl="2">
      <w:start w:val="1"/>
      <w:numFmt w:val="bullet"/>
      <w:lvlText w:val="▪"/>
      <w:lvlJc w:val="left"/>
      <w:pPr>
        <w:ind w:left="1440" w:hanging="360"/>
      </w:pPr>
      <w:rPr>
        <w:rFonts w:ascii="Noto Sans Symbols" w:eastAsia="Noto Sans Symbols" w:hAnsi="Noto Sans Symbols" w:cs="Noto Sans Symbols"/>
        <w:sz w:val="20"/>
        <w:szCs w:val="20"/>
      </w:rPr>
    </w:lvl>
    <w:lvl w:ilvl="3">
      <w:start w:val="1"/>
      <w:numFmt w:val="bullet"/>
      <w:lvlText w:val="▪"/>
      <w:lvlJc w:val="left"/>
      <w:pPr>
        <w:ind w:left="2160" w:hanging="360"/>
      </w:pPr>
      <w:rPr>
        <w:rFonts w:ascii="Noto Sans Symbols" w:eastAsia="Noto Sans Symbols" w:hAnsi="Noto Sans Symbols" w:cs="Noto Sans Symbols"/>
        <w:sz w:val="20"/>
        <w:szCs w:val="20"/>
      </w:rPr>
    </w:lvl>
    <w:lvl w:ilvl="4">
      <w:start w:val="1"/>
      <w:numFmt w:val="bullet"/>
      <w:lvlText w:val="▪"/>
      <w:lvlJc w:val="left"/>
      <w:pPr>
        <w:ind w:left="2880" w:hanging="360"/>
      </w:pPr>
      <w:rPr>
        <w:rFonts w:ascii="Noto Sans Symbols" w:eastAsia="Noto Sans Symbols" w:hAnsi="Noto Sans Symbols" w:cs="Noto Sans Symbols"/>
        <w:sz w:val="20"/>
        <w:szCs w:val="20"/>
      </w:rPr>
    </w:lvl>
    <w:lvl w:ilvl="5">
      <w:start w:val="1"/>
      <w:numFmt w:val="bullet"/>
      <w:lvlText w:val="▪"/>
      <w:lvlJc w:val="left"/>
      <w:pPr>
        <w:ind w:left="3600" w:hanging="360"/>
      </w:pPr>
      <w:rPr>
        <w:rFonts w:ascii="Noto Sans Symbols" w:eastAsia="Noto Sans Symbols" w:hAnsi="Noto Sans Symbols" w:cs="Noto Sans Symbols"/>
        <w:sz w:val="20"/>
        <w:szCs w:val="20"/>
      </w:rPr>
    </w:lvl>
    <w:lvl w:ilvl="6">
      <w:start w:val="1"/>
      <w:numFmt w:val="bullet"/>
      <w:lvlText w:val="▪"/>
      <w:lvlJc w:val="left"/>
      <w:pPr>
        <w:ind w:left="4320" w:hanging="360"/>
      </w:pPr>
      <w:rPr>
        <w:rFonts w:ascii="Noto Sans Symbols" w:eastAsia="Noto Sans Symbols" w:hAnsi="Noto Sans Symbols" w:cs="Noto Sans Symbols"/>
        <w:sz w:val="20"/>
        <w:szCs w:val="20"/>
      </w:rPr>
    </w:lvl>
    <w:lvl w:ilvl="7">
      <w:start w:val="1"/>
      <w:numFmt w:val="bullet"/>
      <w:lvlText w:val="▪"/>
      <w:lvlJc w:val="left"/>
      <w:pPr>
        <w:ind w:left="5040" w:hanging="360"/>
      </w:pPr>
      <w:rPr>
        <w:rFonts w:ascii="Noto Sans Symbols" w:eastAsia="Noto Sans Symbols" w:hAnsi="Noto Sans Symbols" w:cs="Noto Sans Symbols"/>
        <w:sz w:val="20"/>
        <w:szCs w:val="20"/>
      </w:rPr>
    </w:lvl>
    <w:lvl w:ilvl="8">
      <w:start w:val="1"/>
      <w:numFmt w:val="bullet"/>
      <w:lvlText w:val="▪"/>
      <w:lvlJc w:val="left"/>
      <w:pPr>
        <w:ind w:left="5760" w:hanging="360"/>
      </w:pPr>
      <w:rPr>
        <w:rFonts w:ascii="Noto Sans Symbols" w:eastAsia="Noto Sans Symbols" w:hAnsi="Noto Sans Symbols" w:cs="Noto Sans Symbols"/>
        <w:sz w:val="20"/>
        <w:szCs w:val="20"/>
      </w:rPr>
    </w:lvl>
  </w:abstractNum>
  <w:abstractNum w:abstractNumId="5" w15:restartNumberingAfterBreak="0">
    <w:nsid w:val="46113BC1"/>
    <w:multiLevelType w:val="multilevel"/>
    <w:tmpl w:val="334C52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C3E3E57"/>
    <w:multiLevelType w:val="multilevel"/>
    <w:tmpl w:val="7DBE64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2374D2B"/>
    <w:multiLevelType w:val="multilevel"/>
    <w:tmpl w:val="5AD4F1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FBB366C"/>
    <w:multiLevelType w:val="multilevel"/>
    <w:tmpl w:val="1526B6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858540397">
    <w:abstractNumId w:val="3"/>
  </w:num>
  <w:num w:numId="2" w16cid:durableId="593783754">
    <w:abstractNumId w:val="8"/>
  </w:num>
  <w:num w:numId="3" w16cid:durableId="1302809310">
    <w:abstractNumId w:val="2"/>
  </w:num>
  <w:num w:numId="4" w16cid:durableId="1619335939">
    <w:abstractNumId w:val="4"/>
  </w:num>
  <w:num w:numId="5" w16cid:durableId="469521130">
    <w:abstractNumId w:val="6"/>
  </w:num>
  <w:num w:numId="6" w16cid:durableId="177669261">
    <w:abstractNumId w:val="0"/>
  </w:num>
  <w:num w:numId="7" w16cid:durableId="989865850">
    <w:abstractNumId w:val="5"/>
  </w:num>
  <w:num w:numId="8" w16cid:durableId="1051877720">
    <w:abstractNumId w:val="7"/>
  </w:num>
  <w:num w:numId="9" w16cid:durableId="2028211313">
    <w:abstractNumId w:val="1"/>
  </w:num>
  <w:num w:numId="10" w16cid:durableId="21031412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B40"/>
    <w:rsid w:val="0022269E"/>
    <w:rsid w:val="00633716"/>
    <w:rsid w:val="00782EB4"/>
    <w:rsid w:val="00A07A2E"/>
    <w:rsid w:val="00FF4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FF2B6C"/>
  <w15:docId w15:val="{D928D187-3738-CC4D-B996-685861C2C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Palatino Linotype" w:hAnsi="Palatino Linotype" w:cs="Palatino Linotype"/>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OE - Normal"/>
    <w:qFormat/>
    <w:rsid w:val="00781940"/>
    <w:pPr>
      <w:autoSpaceDE w:val="0"/>
      <w:autoSpaceDN w:val="0"/>
    </w:pPr>
  </w:style>
  <w:style w:type="paragraph" w:styleId="Heading1">
    <w:name w:val="heading 1"/>
    <w:aliases w:val="AOE - Heading 1"/>
    <w:basedOn w:val="Normal"/>
    <w:next w:val="Normal"/>
    <w:link w:val="Heading1Char"/>
    <w:uiPriority w:val="9"/>
    <w:qFormat/>
    <w:rsid w:val="00147A67"/>
    <w:pPr>
      <w:spacing w:before="240"/>
      <w:outlineLvl w:val="0"/>
    </w:pPr>
    <w:rPr>
      <w:rFonts w:ascii="Franklin Gothic Demi Cond" w:hAnsi="Franklin Gothic Demi Cond"/>
      <w:bCs/>
      <w:sz w:val="28"/>
    </w:rPr>
  </w:style>
  <w:style w:type="paragraph" w:styleId="Heading2">
    <w:name w:val="heading 2"/>
    <w:aliases w:val="AOE - Heading 2"/>
    <w:basedOn w:val="Heading1"/>
    <w:next w:val="Normal"/>
    <w:link w:val="Heading2Char"/>
    <w:uiPriority w:val="9"/>
    <w:semiHidden/>
    <w:unhideWhenUsed/>
    <w:qFormat/>
    <w:rsid w:val="008A0832"/>
    <w:pPr>
      <w:outlineLvl w:val="1"/>
    </w:pPr>
    <w:rPr>
      <w:rFonts w:ascii="Franklin Gothic Demi" w:hAnsi="Franklin Gothic Demi"/>
      <w:sz w:val="24"/>
    </w:rPr>
  </w:style>
  <w:style w:type="paragraph" w:styleId="Heading3">
    <w:name w:val="heading 3"/>
    <w:aliases w:val="AOE Heading 3"/>
    <w:basedOn w:val="Heading2"/>
    <w:next w:val="Normal"/>
    <w:link w:val="Heading3Char"/>
    <w:uiPriority w:val="9"/>
    <w:semiHidden/>
    <w:unhideWhenUsed/>
    <w:qFormat/>
    <w:rsid w:val="008A0832"/>
    <w:pPr>
      <w:ind w:left="720"/>
      <w:outlineLvl w:val="2"/>
    </w:pPr>
  </w:style>
  <w:style w:type="paragraph" w:styleId="Heading4">
    <w:name w:val="heading 4"/>
    <w:aliases w:val="AOE Heading 4"/>
    <w:basedOn w:val="Heading3"/>
    <w:next w:val="Normal"/>
    <w:link w:val="Heading4Char"/>
    <w:uiPriority w:val="9"/>
    <w:semiHidden/>
    <w:unhideWhenUsed/>
    <w:qFormat/>
    <w:rsid w:val="004460D4"/>
    <w:pPr>
      <w:keepNext/>
      <w:keepLines/>
      <w:spacing w:before="200"/>
      <w:outlineLvl w:val="3"/>
    </w:pPr>
    <w:rPr>
      <w:rFonts w:eastAsiaTheme="majorEastAsia" w:cstheme="majorBidi"/>
      <w:bCs w:val="0"/>
      <w:i/>
      <w:iCs/>
      <w:color w:val="000000" w:themeColor="text1"/>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AOE - Title"/>
    <w:basedOn w:val="Normal"/>
    <w:next w:val="Normal"/>
    <w:link w:val="TitleChar"/>
    <w:uiPriority w:val="10"/>
    <w:qFormat/>
    <w:rsid w:val="00147A67"/>
    <w:pPr>
      <w:spacing w:before="360" w:after="240" w:line="276" w:lineRule="auto"/>
      <w:jc w:val="center"/>
    </w:pPr>
    <w:rPr>
      <w:rFonts w:ascii="Franklin Gothic Demi Cond" w:hAnsi="Franklin Gothic Demi Cond"/>
      <w:sz w:val="36"/>
    </w:rPr>
  </w:style>
  <w:style w:type="paragraph" w:styleId="Header">
    <w:name w:val="header"/>
    <w:basedOn w:val="Normal"/>
    <w:link w:val="HeaderChar"/>
    <w:uiPriority w:val="99"/>
    <w:unhideWhenUsed/>
    <w:rsid w:val="00340C04"/>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340C04"/>
  </w:style>
  <w:style w:type="paragraph" w:styleId="Footer">
    <w:name w:val="footer"/>
    <w:basedOn w:val="Normal"/>
    <w:link w:val="FooterChar"/>
    <w:uiPriority w:val="99"/>
    <w:unhideWhenUsed/>
    <w:rsid w:val="004460D4"/>
    <w:pPr>
      <w:tabs>
        <w:tab w:val="left" w:pos="4680"/>
        <w:tab w:val="right" w:pos="9360"/>
      </w:tabs>
    </w:pPr>
    <w:rPr>
      <w:rFonts w:eastAsiaTheme="minorHAnsi" w:cstheme="minorBidi"/>
      <w:sz w:val="20"/>
    </w:rPr>
  </w:style>
  <w:style w:type="character" w:customStyle="1" w:styleId="FooterChar">
    <w:name w:val="Footer Char"/>
    <w:basedOn w:val="DefaultParagraphFont"/>
    <w:link w:val="Footer"/>
    <w:uiPriority w:val="99"/>
    <w:rsid w:val="004460D4"/>
    <w:rPr>
      <w:rFonts w:ascii="Palatino Linotype" w:hAnsi="Palatino Linotype"/>
      <w:bCs/>
      <w:sz w:val="20"/>
    </w:rPr>
  </w:style>
  <w:style w:type="paragraph" w:styleId="BalloonText">
    <w:name w:val="Balloon Text"/>
    <w:basedOn w:val="Normal"/>
    <w:link w:val="BalloonTextChar"/>
    <w:uiPriority w:val="99"/>
    <w:semiHidden/>
    <w:unhideWhenUsed/>
    <w:rsid w:val="00340C04"/>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340C04"/>
    <w:rPr>
      <w:rFonts w:ascii="Tahoma" w:hAnsi="Tahoma" w:cs="Tahoma"/>
      <w:sz w:val="16"/>
      <w:szCs w:val="16"/>
    </w:rPr>
  </w:style>
  <w:style w:type="character" w:styleId="Hyperlink">
    <w:name w:val="Hyperlink"/>
    <w:basedOn w:val="DefaultParagraphFont"/>
    <w:uiPriority w:val="99"/>
    <w:unhideWhenUsed/>
    <w:rsid w:val="0087647A"/>
    <w:rPr>
      <w:rFonts w:cs="Times New Roman"/>
      <w:color w:val="0000FF" w:themeColor="hyperlink"/>
      <w:u w:val="single"/>
    </w:rPr>
  </w:style>
  <w:style w:type="character" w:styleId="FollowedHyperlink">
    <w:name w:val="FollowedHyperlink"/>
    <w:basedOn w:val="DefaultParagraphFont"/>
    <w:uiPriority w:val="99"/>
    <w:semiHidden/>
    <w:unhideWhenUsed/>
    <w:rsid w:val="0087647A"/>
    <w:rPr>
      <w:rFonts w:cs="Times New Roman"/>
      <w:color w:val="800080" w:themeColor="followedHyperlink"/>
      <w:u w:val="single"/>
    </w:rPr>
  </w:style>
  <w:style w:type="paragraph" w:styleId="ListParagraph">
    <w:name w:val="List Paragraph"/>
    <w:basedOn w:val="Normal"/>
    <w:link w:val="ListParagraphChar"/>
    <w:uiPriority w:val="34"/>
    <w:qFormat/>
    <w:rsid w:val="0087647A"/>
    <w:pPr>
      <w:spacing w:after="200" w:line="276" w:lineRule="auto"/>
      <w:ind w:left="720"/>
      <w:contextualSpacing/>
    </w:pPr>
    <w:rPr>
      <w:rFonts w:asciiTheme="minorHAnsi" w:eastAsiaTheme="minorEastAsia" w:hAnsiTheme="minorHAnsi"/>
    </w:rPr>
  </w:style>
  <w:style w:type="character" w:styleId="Strong">
    <w:name w:val="Strong"/>
    <w:basedOn w:val="DefaultParagraphFont"/>
    <w:uiPriority w:val="22"/>
    <w:rsid w:val="00575711"/>
    <w:rPr>
      <w:b/>
      <w:bCs/>
    </w:rPr>
  </w:style>
  <w:style w:type="table" w:styleId="TableGrid">
    <w:name w:val="Table Grid"/>
    <w:basedOn w:val="TableNormal"/>
    <w:uiPriority w:val="39"/>
    <w:rsid w:val="00937F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C1F88"/>
    <w:rPr>
      <w:color w:val="808080"/>
    </w:rPr>
  </w:style>
  <w:style w:type="character" w:customStyle="1" w:styleId="Heading1Char">
    <w:name w:val="Heading 1 Char"/>
    <w:aliases w:val="AOE - Heading 1 Char"/>
    <w:basedOn w:val="DefaultParagraphFont"/>
    <w:link w:val="Heading1"/>
    <w:uiPriority w:val="9"/>
    <w:rsid w:val="00147A67"/>
    <w:rPr>
      <w:rFonts w:ascii="Franklin Gothic Demi Cond" w:eastAsia="Times New Roman" w:hAnsi="Franklin Gothic Demi Cond" w:cs="Calibri"/>
      <w:sz w:val="28"/>
    </w:rPr>
  </w:style>
  <w:style w:type="character" w:customStyle="1" w:styleId="TitleChar">
    <w:name w:val="Title Char"/>
    <w:aliases w:val="AOE - Title Char"/>
    <w:basedOn w:val="DefaultParagraphFont"/>
    <w:link w:val="Title"/>
    <w:uiPriority w:val="10"/>
    <w:rsid w:val="00147A67"/>
    <w:rPr>
      <w:rFonts w:ascii="Franklin Gothic Demi Cond" w:eastAsia="Times New Roman" w:hAnsi="Franklin Gothic Demi Cond" w:cs="Calibri"/>
      <w:bCs/>
      <w:sz w:val="36"/>
    </w:rPr>
  </w:style>
  <w:style w:type="paragraph" w:customStyle="1" w:styleId="AOE-Header">
    <w:name w:val="AOE - Header"/>
    <w:basedOn w:val="Normal"/>
    <w:link w:val="AOE-HeaderChar"/>
    <w:rsid w:val="004062C7"/>
    <w:pPr>
      <w:jc w:val="center"/>
    </w:pPr>
    <w:rPr>
      <w:noProof/>
    </w:rPr>
  </w:style>
  <w:style w:type="character" w:customStyle="1" w:styleId="Heading2Char">
    <w:name w:val="Heading 2 Char"/>
    <w:aliases w:val="AOE - Heading 2 Char"/>
    <w:basedOn w:val="DefaultParagraphFont"/>
    <w:link w:val="Heading2"/>
    <w:uiPriority w:val="9"/>
    <w:rsid w:val="008A0832"/>
    <w:rPr>
      <w:rFonts w:ascii="Franklin Gothic Demi" w:eastAsia="Times New Roman" w:hAnsi="Franklin Gothic Demi" w:cs="Calibri"/>
      <w:sz w:val="24"/>
    </w:rPr>
  </w:style>
  <w:style w:type="character" w:customStyle="1" w:styleId="AOE-HeaderChar">
    <w:name w:val="AOE - Header Char"/>
    <w:basedOn w:val="DefaultParagraphFont"/>
    <w:link w:val="AOE-Header"/>
    <w:rsid w:val="004062C7"/>
    <w:rPr>
      <w:rFonts w:ascii="Palatino Linotype" w:eastAsia="Times New Roman" w:hAnsi="Palatino Linotype" w:cs="Calibri"/>
      <w:bCs/>
      <w:noProof/>
    </w:rPr>
  </w:style>
  <w:style w:type="character" w:customStyle="1" w:styleId="Heading3Char">
    <w:name w:val="Heading 3 Char"/>
    <w:aliases w:val="AOE Heading 3 Char"/>
    <w:basedOn w:val="DefaultParagraphFont"/>
    <w:link w:val="Heading3"/>
    <w:uiPriority w:val="9"/>
    <w:rsid w:val="008A0832"/>
    <w:rPr>
      <w:rFonts w:ascii="Franklin Gothic Demi" w:eastAsia="Times New Roman" w:hAnsi="Franklin Gothic Demi" w:cs="Calibri"/>
      <w:sz w:val="24"/>
    </w:rPr>
  </w:style>
  <w:style w:type="character" w:customStyle="1" w:styleId="Heading4Char">
    <w:name w:val="Heading 4 Char"/>
    <w:aliases w:val="AOE Heading 4 Char"/>
    <w:basedOn w:val="DefaultParagraphFont"/>
    <w:link w:val="Heading4"/>
    <w:uiPriority w:val="9"/>
    <w:rsid w:val="004460D4"/>
    <w:rPr>
      <w:rFonts w:ascii="Franklin Gothic Demi" w:eastAsiaTheme="majorEastAsia" w:hAnsi="Franklin Gothic Demi" w:cstheme="majorBidi"/>
      <w:bCs/>
      <w:i/>
      <w:iCs/>
      <w:color w:val="000000" w:themeColor="text1"/>
      <w:sz w:val="24"/>
    </w:rPr>
  </w:style>
  <w:style w:type="paragraph" w:customStyle="1" w:styleId="AOEBulletedList">
    <w:name w:val="AOE Bulleted List"/>
    <w:basedOn w:val="ListParagraph"/>
    <w:link w:val="AOEBulletedListChar"/>
    <w:qFormat/>
    <w:rsid w:val="008A0832"/>
    <w:pPr>
      <w:numPr>
        <w:numId w:val="9"/>
      </w:numPr>
      <w:spacing w:line="252" w:lineRule="auto"/>
    </w:pPr>
    <w:rPr>
      <w:rFonts w:ascii="Palatino Linotype" w:hAnsi="Palatino Linotype"/>
    </w:rPr>
  </w:style>
  <w:style w:type="character" w:customStyle="1" w:styleId="ListParagraphChar">
    <w:name w:val="List Paragraph Char"/>
    <w:basedOn w:val="DefaultParagraphFont"/>
    <w:link w:val="ListParagraph"/>
    <w:uiPriority w:val="34"/>
    <w:rsid w:val="00B04C63"/>
    <w:rPr>
      <w:rFonts w:eastAsiaTheme="minorEastAsia" w:cs="Calibri"/>
      <w:bCs/>
    </w:rPr>
  </w:style>
  <w:style w:type="character" w:customStyle="1" w:styleId="AOEBulletedListChar">
    <w:name w:val="AOE Bulleted List Char"/>
    <w:basedOn w:val="ListParagraphChar"/>
    <w:link w:val="AOEBulletedList"/>
    <w:rsid w:val="008A0832"/>
    <w:rPr>
      <w:rFonts w:ascii="Palatino Linotype" w:eastAsiaTheme="minorEastAsia" w:hAnsi="Palatino Linotype" w:cs="Calibri"/>
      <w:bCs/>
    </w:rPr>
  </w:style>
  <w:style w:type="paragraph" w:customStyle="1" w:styleId="AOENumberedList">
    <w:name w:val="AOE Numbered List"/>
    <w:basedOn w:val="AOEBulletedList"/>
    <w:link w:val="AOENumberedListChar"/>
    <w:qFormat/>
    <w:rsid w:val="008A0832"/>
    <w:pPr>
      <w:numPr>
        <w:numId w:val="0"/>
      </w:numPr>
      <w:tabs>
        <w:tab w:val="num" w:pos="720"/>
      </w:tabs>
      <w:ind w:left="720" w:hanging="720"/>
    </w:pPr>
  </w:style>
  <w:style w:type="character" w:customStyle="1" w:styleId="AOENumberedListChar">
    <w:name w:val="AOE Numbered List Char"/>
    <w:basedOn w:val="AOEBulletedListChar"/>
    <w:link w:val="AOENumberedList"/>
    <w:rsid w:val="008A0832"/>
    <w:rPr>
      <w:rFonts w:ascii="Palatino Linotype" w:eastAsiaTheme="minorEastAsia" w:hAnsi="Palatino Linotype" w:cs="Calibri"/>
      <w:bCs w:val="0"/>
    </w:rPr>
  </w:style>
  <w:style w:type="character" w:customStyle="1" w:styleId="UnresolvedMention1">
    <w:name w:val="Unresolved Mention1"/>
    <w:basedOn w:val="DefaultParagraphFont"/>
    <w:uiPriority w:val="99"/>
    <w:semiHidden/>
    <w:unhideWhenUsed/>
    <w:rsid w:val="004D1880"/>
    <w:rPr>
      <w:color w:val="605E5C"/>
      <w:shd w:val="clear" w:color="auto" w:fill="E1DFDD"/>
    </w:rPr>
  </w:style>
  <w:style w:type="paragraph" w:styleId="BodyText">
    <w:name w:val="Body Text"/>
    <w:basedOn w:val="Normal"/>
    <w:link w:val="BodyTextChar"/>
    <w:uiPriority w:val="1"/>
    <w:qFormat/>
    <w:rsid w:val="00147A67"/>
    <w:rPr>
      <w:rFonts w:ascii="Times New Roman" w:hAnsi="Times New Roman" w:cs="Times New Roman"/>
      <w:b/>
      <w:sz w:val="24"/>
      <w:szCs w:val="24"/>
    </w:rPr>
  </w:style>
  <w:style w:type="character" w:customStyle="1" w:styleId="BodyTextChar">
    <w:name w:val="Body Text Char"/>
    <w:basedOn w:val="DefaultParagraphFont"/>
    <w:link w:val="BodyText"/>
    <w:rsid w:val="00147A67"/>
    <w:rPr>
      <w:rFonts w:ascii="Times New Roman" w:eastAsia="Times New Roman" w:hAnsi="Times New Roman" w:cs="Times New Roman"/>
      <w:b/>
      <w:bCs/>
      <w:sz w:val="24"/>
      <w:szCs w:val="24"/>
    </w:rPr>
  </w:style>
  <w:style w:type="paragraph" w:customStyle="1" w:styleId="TableParagraph">
    <w:name w:val="Table Paragraph"/>
    <w:basedOn w:val="Normal"/>
    <w:uiPriority w:val="1"/>
    <w:qFormat/>
    <w:rsid w:val="00781940"/>
    <w:pPr>
      <w:ind w:left="103"/>
    </w:pPr>
  </w:style>
  <w:style w:type="character" w:styleId="CommentReference">
    <w:name w:val="annotation reference"/>
    <w:basedOn w:val="DefaultParagraphFont"/>
    <w:uiPriority w:val="99"/>
    <w:semiHidden/>
    <w:unhideWhenUsed/>
    <w:rsid w:val="00781940"/>
    <w:rPr>
      <w:sz w:val="16"/>
      <w:szCs w:val="16"/>
    </w:rPr>
  </w:style>
  <w:style w:type="paragraph" w:styleId="CommentText">
    <w:name w:val="annotation text"/>
    <w:basedOn w:val="Normal"/>
    <w:link w:val="CommentTextChar"/>
    <w:uiPriority w:val="99"/>
    <w:unhideWhenUsed/>
    <w:rsid w:val="00781940"/>
    <w:rPr>
      <w:sz w:val="20"/>
      <w:szCs w:val="20"/>
    </w:rPr>
  </w:style>
  <w:style w:type="character" w:customStyle="1" w:styleId="CommentTextChar">
    <w:name w:val="Comment Text Char"/>
    <w:basedOn w:val="DefaultParagraphFont"/>
    <w:link w:val="CommentText"/>
    <w:uiPriority w:val="99"/>
    <w:rsid w:val="00781940"/>
    <w:rPr>
      <w:rFonts w:ascii="Palatino Linotype" w:eastAsia="Palatino Linotype" w:hAnsi="Palatino Linotype" w:cs="Palatino Linotype"/>
      <w:sz w:val="20"/>
      <w:szCs w:val="20"/>
    </w:rPr>
  </w:style>
  <w:style w:type="paragraph" w:styleId="NoSpacing">
    <w:name w:val="No Spacing"/>
    <w:uiPriority w:val="1"/>
    <w:rsid w:val="006409E1"/>
    <w:pPr>
      <w:autoSpaceDE w:val="0"/>
      <w:autoSpaceDN w:val="0"/>
    </w:pPr>
  </w:style>
  <w:style w:type="character" w:styleId="Emphasis">
    <w:name w:val="Emphasis"/>
    <w:basedOn w:val="DefaultParagraphFont"/>
    <w:uiPriority w:val="20"/>
    <w:rsid w:val="006409E1"/>
    <w:rPr>
      <w:i/>
      <w:iCs/>
    </w:rPr>
  </w:style>
  <w:style w:type="paragraph" w:styleId="CommentSubject">
    <w:name w:val="annotation subject"/>
    <w:basedOn w:val="CommentText"/>
    <w:next w:val="CommentText"/>
    <w:link w:val="CommentSubjectChar"/>
    <w:uiPriority w:val="99"/>
    <w:semiHidden/>
    <w:unhideWhenUsed/>
    <w:rsid w:val="00C950C5"/>
    <w:rPr>
      <w:b/>
      <w:bCs/>
    </w:rPr>
  </w:style>
  <w:style w:type="character" w:customStyle="1" w:styleId="CommentSubjectChar">
    <w:name w:val="Comment Subject Char"/>
    <w:basedOn w:val="CommentTextChar"/>
    <w:link w:val="CommentSubject"/>
    <w:uiPriority w:val="99"/>
    <w:semiHidden/>
    <w:rsid w:val="00C950C5"/>
    <w:rPr>
      <w:rFonts w:ascii="Palatino Linotype" w:eastAsia="Palatino Linotype" w:hAnsi="Palatino Linotype" w:cs="Palatino Linotype"/>
      <w:b/>
      <w:bCs/>
      <w:sz w:val="20"/>
      <w:szCs w:val="20"/>
    </w:rPr>
  </w:style>
  <w:style w:type="paragraph" w:styleId="Revision">
    <w:name w:val="Revision"/>
    <w:hidden/>
    <w:uiPriority w:val="99"/>
    <w:semiHidden/>
    <w:rsid w:val="00B14E16"/>
  </w:style>
  <w:style w:type="paragraph" w:styleId="NormalWeb">
    <w:name w:val="Normal (Web)"/>
    <w:basedOn w:val="Normal"/>
    <w:uiPriority w:val="99"/>
    <w:semiHidden/>
    <w:unhideWhenUsed/>
    <w:rsid w:val="00153034"/>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top w:w="29" w:type="dxa"/>
        <w:left w:w="115" w:type="dxa"/>
        <w:right w:w="115" w:type="dxa"/>
      </w:tblCellMar>
    </w:tblPr>
  </w:style>
  <w:style w:type="table" w:customStyle="1" w:styleId="a5">
    <w:basedOn w:val="TableNormal"/>
    <w:tblPr>
      <w:tblStyleRowBandSize w:val="1"/>
      <w:tblStyleColBandSize w:val="1"/>
      <w:tblCellMar>
        <w:top w:w="29" w:type="dxa"/>
        <w:left w:w="115" w:type="dxa"/>
        <w:right w:w="115" w:type="dxa"/>
      </w:tblCellMar>
    </w:tblPr>
  </w:style>
  <w:style w:type="table" w:customStyle="1" w:styleId="a6">
    <w:basedOn w:val="TableNormal"/>
    <w:tblPr>
      <w:tblStyleRowBandSize w:val="1"/>
      <w:tblStyleColBandSize w:val="1"/>
      <w:tblCellMar>
        <w:top w:w="29" w:type="dxa"/>
        <w:left w:w="115" w:type="dxa"/>
        <w:right w:w="115" w:type="dxa"/>
      </w:tblCellMar>
    </w:tblPr>
  </w:style>
  <w:style w:type="table" w:customStyle="1" w:styleId="a7">
    <w:basedOn w:val="TableNormal"/>
    <w:tblPr>
      <w:tblStyleRowBandSize w:val="1"/>
      <w:tblStyleColBandSize w:val="1"/>
      <w:tblCellMar>
        <w:top w:w="29" w:type="dxa"/>
        <w:left w:w="115" w:type="dxa"/>
        <w:right w:w="115" w:type="dxa"/>
      </w:tblCellMar>
    </w:tblPr>
  </w:style>
  <w:style w:type="table" w:customStyle="1" w:styleId="a8">
    <w:basedOn w:val="TableNormal"/>
    <w:tblPr>
      <w:tblStyleRowBandSize w:val="1"/>
      <w:tblStyleColBandSize w:val="1"/>
      <w:tblCellMar>
        <w:top w:w="29" w:type="dxa"/>
        <w:left w:w="115" w:type="dxa"/>
        <w:right w:w="115" w:type="dxa"/>
      </w:tblCellMar>
    </w:tblPr>
  </w:style>
  <w:style w:type="table" w:customStyle="1" w:styleId="a9">
    <w:basedOn w:val="TableNormal"/>
    <w:tblPr>
      <w:tblStyleRowBandSize w:val="1"/>
      <w:tblStyleColBandSize w:val="1"/>
      <w:tblCellMar>
        <w:top w:w="29" w:type="dxa"/>
        <w:left w:w="115" w:type="dxa"/>
        <w:right w:w="115" w:type="dxa"/>
      </w:tblCellMar>
    </w:tblPr>
  </w:style>
  <w:style w:type="table" w:customStyle="1" w:styleId="aa">
    <w:basedOn w:val="TableNormal"/>
    <w:tblPr>
      <w:tblStyleRowBandSize w:val="1"/>
      <w:tblStyleColBandSize w:val="1"/>
      <w:tblCellMar>
        <w:top w:w="29" w:type="dxa"/>
        <w:left w:w="115" w:type="dxa"/>
        <w:right w:w="115" w:type="dxa"/>
      </w:tblCellMar>
    </w:tblPr>
  </w:style>
  <w:style w:type="table" w:customStyle="1" w:styleId="ab">
    <w:basedOn w:val="TableNormal"/>
    <w:tblPr>
      <w:tblStyleRowBandSize w:val="1"/>
      <w:tblStyleColBandSize w:val="1"/>
      <w:tblCellMar>
        <w:top w:w="29" w:type="dxa"/>
        <w:left w:w="115" w:type="dxa"/>
        <w:right w:w="115" w:type="dxa"/>
      </w:tblCellMar>
    </w:tblPr>
  </w:style>
  <w:style w:type="table" w:customStyle="1" w:styleId="ac">
    <w:basedOn w:val="TableNormal"/>
    <w:tblPr>
      <w:tblStyleRowBandSize w:val="1"/>
      <w:tblStyleColBandSize w:val="1"/>
      <w:tblCellMar>
        <w:top w:w="29" w:type="dxa"/>
        <w:left w:w="115" w:type="dxa"/>
        <w:right w:w="115" w:type="dxa"/>
      </w:tblCellMar>
    </w:tblPr>
  </w:style>
  <w:style w:type="table" w:customStyle="1" w:styleId="ad">
    <w:basedOn w:val="TableNormal"/>
    <w:tblPr>
      <w:tblStyleRowBandSize w:val="1"/>
      <w:tblStyleColBandSize w:val="1"/>
      <w:tblCellMar>
        <w:top w:w="29" w:type="dxa"/>
        <w:left w:w="115" w:type="dxa"/>
        <w:right w:w="115" w:type="dxa"/>
      </w:tblCellMar>
    </w:tblPr>
  </w:style>
  <w:style w:type="table" w:customStyle="1" w:styleId="ae">
    <w:basedOn w:val="TableNormal"/>
    <w:tblPr>
      <w:tblStyleRowBandSize w:val="1"/>
      <w:tblStyleColBandSize w:val="1"/>
      <w:tblCellMar>
        <w:top w:w="29" w:type="dxa"/>
        <w:left w:w="115" w:type="dxa"/>
        <w:right w:w="115" w:type="dxa"/>
      </w:tblCellMar>
    </w:tblPr>
  </w:style>
  <w:style w:type="table" w:customStyle="1" w:styleId="af">
    <w:basedOn w:val="TableNormal"/>
    <w:tblPr>
      <w:tblStyleRowBandSize w:val="1"/>
      <w:tblStyleColBandSize w:val="1"/>
      <w:tblCellMar>
        <w:top w:w="29" w:type="dxa"/>
        <w:left w:w="115" w:type="dxa"/>
        <w:right w:w="115" w:type="dxa"/>
      </w:tblCellMar>
    </w:tblPr>
  </w:style>
  <w:style w:type="table" w:customStyle="1" w:styleId="af0">
    <w:basedOn w:val="TableNormal"/>
    <w:tblPr>
      <w:tblStyleRowBandSize w:val="1"/>
      <w:tblStyleColBandSize w:val="1"/>
      <w:tblCellMar>
        <w:top w:w="29" w:type="dxa"/>
        <w:left w:w="115" w:type="dxa"/>
        <w:right w:w="115" w:type="dxa"/>
      </w:tblCellMar>
    </w:tblPr>
  </w:style>
  <w:style w:type="table" w:customStyle="1" w:styleId="af1">
    <w:basedOn w:val="TableNormal"/>
    <w:tblPr>
      <w:tblStyleRowBandSize w:val="1"/>
      <w:tblStyleColBandSize w:val="1"/>
      <w:tblCellMar>
        <w:top w:w="29" w:type="dxa"/>
        <w:left w:w="115" w:type="dxa"/>
        <w:right w:w="115" w:type="dxa"/>
      </w:tblCellMar>
    </w:tblPr>
  </w:style>
  <w:style w:type="table" w:customStyle="1" w:styleId="af2">
    <w:basedOn w:val="TableNormal"/>
    <w:tblPr>
      <w:tblStyleRowBandSize w:val="1"/>
      <w:tblStyleColBandSize w:val="1"/>
      <w:tblCellMar>
        <w:top w:w="29" w:type="dxa"/>
        <w:left w:w="115" w:type="dxa"/>
        <w:right w:w="115" w:type="dxa"/>
      </w:tblCellMar>
    </w:tblPr>
  </w:style>
  <w:style w:type="table" w:customStyle="1" w:styleId="af3">
    <w:basedOn w:val="TableNormal"/>
    <w:tblPr>
      <w:tblStyleRowBandSize w:val="1"/>
      <w:tblStyleColBandSize w:val="1"/>
      <w:tblCellMar>
        <w:top w:w="29" w:type="dxa"/>
        <w:left w:w="115" w:type="dxa"/>
        <w:right w:w="115" w:type="dxa"/>
      </w:tblCellMar>
    </w:tblPr>
  </w:style>
  <w:style w:type="table" w:customStyle="1" w:styleId="af4">
    <w:basedOn w:val="TableNormal"/>
    <w:tblPr>
      <w:tblStyleRowBandSize w:val="1"/>
      <w:tblStyleColBandSize w:val="1"/>
      <w:tblCellMar>
        <w:top w:w="29" w:type="dxa"/>
        <w:left w:w="115" w:type="dxa"/>
        <w:right w:w="115" w:type="dxa"/>
      </w:tblCellMar>
    </w:tblPr>
  </w:style>
  <w:style w:type="table" w:customStyle="1" w:styleId="af5">
    <w:basedOn w:val="TableNormal"/>
    <w:tblPr>
      <w:tblStyleRowBandSize w:val="1"/>
      <w:tblStyleColBandSize w:val="1"/>
      <w:tblCellMar>
        <w:top w:w="29" w:type="dxa"/>
        <w:left w:w="115" w:type="dxa"/>
        <w:right w:w="115" w:type="dxa"/>
      </w:tblCellMar>
    </w:tblPr>
  </w:style>
  <w:style w:type="table" w:customStyle="1" w:styleId="af6">
    <w:basedOn w:val="TableNormal"/>
    <w:tblPr>
      <w:tblStyleRowBandSize w:val="1"/>
      <w:tblStyleColBandSize w:val="1"/>
      <w:tblCellMar>
        <w:top w:w="29" w:type="dxa"/>
        <w:left w:w="115" w:type="dxa"/>
        <w:right w:w="115" w:type="dxa"/>
      </w:tblCellMar>
    </w:tblPr>
  </w:style>
  <w:style w:type="table" w:customStyle="1" w:styleId="af7">
    <w:basedOn w:val="TableNormal"/>
    <w:tblPr>
      <w:tblStyleRowBandSize w:val="1"/>
      <w:tblStyleColBandSize w:val="1"/>
      <w:tblCellMar>
        <w:top w:w="29" w:type="dxa"/>
        <w:left w:w="115" w:type="dxa"/>
        <w:right w:w="115" w:type="dxa"/>
      </w:tblCellMar>
    </w:tblPr>
  </w:style>
  <w:style w:type="table" w:customStyle="1" w:styleId="af8">
    <w:basedOn w:val="TableNormal"/>
    <w:tblPr>
      <w:tblStyleRowBandSize w:val="1"/>
      <w:tblStyleColBandSize w:val="1"/>
      <w:tblCellMar>
        <w:top w:w="29" w:type="dxa"/>
        <w:left w:w="115" w:type="dxa"/>
        <w:right w:w="115" w:type="dxa"/>
      </w:tblCellMar>
    </w:tblPr>
  </w:style>
  <w:style w:type="table" w:customStyle="1" w:styleId="af9">
    <w:basedOn w:val="TableNormal"/>
    <w:tblPr>
      <w:tblStyleRowBandSize w:val="1"/>
      <w:tblStyleColBandSize w:val="1"/>
      <w:tblCellMar>
        <w:top w:w="29" w:type="dxa"/>
        <w:left w:w="115" w:type="dxa"/>
        <w:right w:w="115" w:type="dxa"/>
      </w:tblCellMar>
    </w:tblPr>
  </w:style>
  <w:style w:type="table" w:customStyle="1" w:styleId="afa">
    <w:basedOn w:val="TableNormal"/>
    <w:tblPr>
      <w:tblStyleRowBandSize w:val="1"/>
      <w:tblStyleColBandSize w:val="1"/>
      <w:tblCellMar>
        <w:top w:w="29" w:type="dxa"/>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ducation.vermont.gov/documents/edu-comprehensive-needs-assessment-toolk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ducation.vermont.gov/documents/education-quality-and-continuous-improvement-framework" TargetMode="External"/><Relationship Id="rId4" Type="http://schemas.openxmlformats.org/officeDocument/2006/relationships/settings" Target="settings.xml"/><Relationship Id="rId9" Type="http://schemas.openxmlformats.org/officeDocument/2006/relationships/hyperlink" Target="https://education.vermont.gov/documents/edu-cfp-data-inventory-template"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rx/Fsd98a+mYoDPC4iXqFR/1TA==">CgMxLjAyCGguZ2pkZ3hzMgloLjFmb2I5dGUyCWguM3pueXNoNzIJaC4yZXQ5MnAwMghoLnR5amN3dDIJaC4zZHk2dmttOAByITE2VDk3a2F6V2VGMnQyTFBKVVNCYURMYmJCeHpyQk9TWA==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1217</Words>
  <Characters>6937</Characters>
  <Application>Microsoft Office Word</Application>
  <DocSecurity>0</DocSecurity>
  <Lines>57</Lines>
  <Paragraphs>16</Paragraphs>
  <ScaleCrop>false</ScaleCrop>
  <Company/>
  <LinksUpToDate>false</LinksUpToDate>
  <CharactersWithSpaces>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Vermont Agency of Education</dc:creator>
  <cp:lastModifiedBy>Katie Bryant</cp:lastModifiedBy>
  <cp:revision>1</cp:revision>
  <dcterms:created xsi:type="dcterms:W3CDTF">2022-06-23T19:45:00Z</dcterms:created>
  <dcterms:modified xsi:type="dcterms:W3CDTF">2025-04-08T18:45:00Z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0x010100FFD5CA2A6723CC46B8384596C245D0B8</vt:lpwstr>
  </property>
</Properties>
</file>