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045DA" w14:textId="1AB66B8A" w:rsidR="00FF4B40" w:rsidRDefault="00A07A2E">
      <w:pPr>
        <w:pStyle w:val="Title"/>
      </w:pPr>
      <w:r>
        <w:t xml:space="preserve">Plano de </w:t>
      </w:r>
      <w:proofErr w:type="spellStart"/>
      <w:r>
        <w:t>Melhoria</w:t>
      </w:r>
      <w:proofErr w:type="spellEnd"/>
      <w:r>
        <w:t xml:space="preserve"> </w:t>
      </w:r>
      <w:proofErr w:type="spellStart"/>
      <w:r>
        <w:t>Contínua</w:t>
      </w:r>
      <w:proofErr w:type="spellEnd"/>
      <w:r>
        <w:t xml:space="preserve"> de Vermont</w:t>
      </w:r>
    </w:p>
    <w:p w14:paraId="1724B402" w14:textId="77777777" w:rsidR="00FF4B40" w:rsidRDefault="00A07A2E">
      <w:pPr>
        <w:pStyle w:val="Heading1"/>
      </w:pPr>
      <w:r>
        <w:t>LEA: Escola Primária Johnson Escola Primária</w:t>
      </w:r>
    </w:p>
    <w:p w14:paraId="761A7535" w14:textId="77777777" w:rsidR="00FF4B40" w:rsidRDefault="00A07A2E">
      <w:r>
        <w:t>Plano de Melhoria Contínua LEA Nome de contato: David Manning, 2024-2026</w:t>
      </w:r>
    </w:p>
    <w:p w14:paraId="700F7334" w14:textId="77777777" w:rsidR="00FF4B40" w:rsidRDefault="00FF4B40"/>
    <w:p w14:paraId="1BC382F6" w14:textId="77777777" w:rsidR="00FF4B40" w:rsidRDefault="00A07A2E">
      <w:pPr>
        <w:rPr>
          <w:rFonts w:ascii="Libre Franklin" w:eastAsia="Libre Franklin" w:hAnsi="Libre Franklin" w:cs="Libre Franklin"/>
          <w:sz w:val="28"/>
          <w:szCs w:val="28"/>
        </w:rPr>
      </w:pPr>
      <w:r>
        <w:rPr>
          <w:rFonts w:ascii="Libre Franklin" w:eastAsia="Libre Franklin" w:hAnsi="Libre Franklin" w:cs="Libre Franklin"/>
          <w:sz w:val="28"/>
          <w:szCs w:val="28"/>
        </w:rPr>
        <w:t>E-mail de contato do Plano de Melhoria Contínua LEA: dmanning@jesvt.org</w:t>
      </w:r>
    </w:p>
    <w:p w14:paraId="3683CE97" w14:textId="77777777" w:rsidR="00FF4B40" w:rsidRDefault="00FF4B40"/>
    <w:p w14:paraId="79994BAC" w14:textId="77777777" w:rsidR="00FF4B40" w:rsidRDefault="00A07A2E">
      <w:pPr>
        <w:pBdr>
          <w:top w:val="nil"/>
          <w:left w:val="nil"/>
          <w:bottom w:val="nil"/>
          <w:right w:val="nil"/>
          <w:between w:val="nil"/>
        </w:pBdr>
        <w:jc w:val="both"/>
        <w:rPr>
          <w:i/>
        </w:rPr>
      </w:pPr>
      <w:r>
        <w:rPr>
          <w:rFonts w:ascii="Libre Franklin" w:eastAsia="Libre Franklin" w:hAnsi="Libre Franklin" w:cs="Libre Franklin"/>
          <w:color w:val="000000"/>
          <w:sz w:val="28"/>
          <w:szCs w:val="28"/>
        </w:rPr>
        <w:t xml:space="preserve">Partes interessadas colaborativas representadas: </w:t>
      </w:r>
      <w:r>
        <w:rPr>
          <w:color w:val="000000"/>
        </w:rPr>
        <w:t xml:space="preserve">Liste os nomes e funções das partes interessadas representativas envolvidas no desenvolvimento do Plano de Melhoria Contínua (por exemplo, membros do conselho escolar, alunos, pais, professores, administradores, parceiros CTE, representantes de agências de saúde mental e outros membros da comunidade). Esforce-se para garantir que diversas vozes façam parte do processo de planejamento. </w:t>
      </w:r>
    </w:p>
    <w:p w14:paraId="08F8F701" w14:textId="77777777" w:rsidR="00FF4B40" w:rsidRDefault="00FF4B40">
      <w:pPr>
        <w:pBdr>
          <w:top w:val="nil"/>
          <w:left w:val="nil"/>
          <w:bottom w:val="nil"/>
          <w:right w:val="nil"/>
          <w:between w:val="nil"/>
        </w:pBdr>
        <w:jc w:val="both"/>
        <w:rPr>
          <w:i/>
          <w:color w:val="000000"/>
        </w:rPr>
      </w:pPr>
    </w:p>
    <w:p w14:paraId="52289C08" w14:textId="77777777" w:rsidR="00FF4B40" w:rsidRDefault="00FF4B40">
      <w:pPr>
        <w:pBdr>
          <w:top w:val="nil"/>
          <w:left w:val="nil"/>
          <w:bottom w:val="nil"/>
          <w:right w:val="nil"/>
          <w:between w:val="nil"/>
        </w:pBdr>
        <w:jc w:val="both"/>
        <w:rPr>
          <w:color w:val="000000"/>
        </w:rPr>
      </w:pPr>
    </w:p>
    <w:p w14:paraId="7AF6C15C" w14:textId="77777777" w:rsidR="00FF4B40" w:rsidRDefault="00A07A2E">
      <w:r>
        <w:t xml:space="preserve">Uma oportunidade para revisão deste documento foi dada a todos os funcionários em 28 de março de 2024.  Várias equipes contribuíram para o plano para apoiar as metas e sugerir mudanças por meio do trabalho de inventário de dados feito em equipes.  </w:t>
      </w:r>
      <w:r>
        <w:br w:type="page"/>
      </w:r>
    </w:p>
    <w:p w14:paraId="6764DA2F" w14:textId="77777777" w:rsidR="00FF4B40" w:rsidRDefault="00A07A2E">
      <w:pPr>
        <w:pStyle w:val="Heading1"/>
      </w:pPr>
      <w:r>
        <w:t xml:space="preserve">Desenvolvimento de Plano de Melhoria Contínua </w:t>
      </w:r>
    </w:p>
    <w:p w14:paraId="23132F58" w14:textId="77777777" w:rsidR="00FF4B40" w:rsidRDefault="00A07A2E">
      <w:pPr>
        <w:numPr>
          <w:ilvl w:val="0"/>
          <w:numId w:val="2"/>
        </w:numPr>
        <w:pBdr>
          <w:top w:val="nil"/>
          <w:left w:val="nil"/>
          <w:bottom w:val="nil"/>
          <w:right w:val="nil"/>
          <w:between w:val="nil"/>
        </w:pBdr>
        <w:spacing w:line="252" w:lineRule="auto"/>
        <w:rPr>
          <w:color w:val="000000"/>
        </w:rPr>
      </w:pPr>
      <w:r>
        <w:rPr>
          <w:color w:val="000000"/>
        </w:rPr>
        <w:t xml:space="preserve">Liste suas metas, estratégias, medidas e recursos priorizados para apoiar a implementação com base em sua </w:t>
      </w:r>
      <w:hyperlink r:id="rId8">
        <w:r>
          <w:rPr>
            <w:color w:val="0000FF"/>
            <w:u w:val="single"/>
          </w:rPr>
          <w:t>avaliação abrangente de necessidades</w:t>
        </w:r>
      </w:hyperlink>
      <w:r>
        <w:rPr>
          <w:color w:val="0000FF"/>
          <w:u w:val="single"/>
        </w:rPr>
        <w:t xml:space="preserve"> </w:t>
      </w:r>
      <w:r>
        <w:rPr>
          <w:color w:val="000000"/>
        </w:rPr>
        <w:t xml:space="preserve">e </w:t>
      </w:r>
      <w:hyperlink r:id="rId9">
        <w:r>
          <w:rPr>
            <w:color w:val="0000FF"/>
            <w:u w:val="single"/>
          </w:rPr>
          <w:t>inventário de dados</w:t>
        </w:r>
      </w:hyperlink>
    </w:p>
    <w:p w14:paraId="320BF685" w14:textId="77777777" w:rsidR="00FF4B40" w:rsidRDefault="00A07A2E">
      <w:pPr>
        <w:numPr>
          <w:ilvl w:val="0"/>
          <w:numId w:val="2"/>
        </w:numPr>
        <w:pBdr>
          <w:top w:val="nil"/>
          <w:left w:val="nil"/>
          <w:bottom w:val="nil"/>
          <w:right w:val="nil"/>
          <w:between w:val="nil"/>
        </w:pBdr>
        <w:spacing w:line="252" w:lineRule="auto"/>
      </w:pPr>
      <w:r>
        <w:rPr>
          <w:color w:val="000000"/>
        </w:rPr>
        <w:t xml:space="preserve">Você deve ter pelo menos uma meta de Escolas Seguras e Saudáveis e uma meta de Desempenho Acadêmico. Você pode identificar metas adicionais, mas é uma prática recomendada limitar suas metas de CIP a um número gerenciável para implementar e medir. </w:t>
      </w:r>
    </w:p>
    <w:p w14:paraId="0FFD24F6" w14:textId="77777777" w:rsidR="00FF4B40" w:rsidRDefault="00A07A2E">
      <w:pPr>
        <w:numPr>
          <w:ilvl w:val="0"/>
          <w:numId w:val="2"/>
        </w:numPr>
        <w:pBdr>
          <w:top w:val="nil"/>
          <w:left w:val="nil"/>
          <w:bottom w:val="nil"/>
          <w:right w:val="nil"/>
          <w:between w:val="nil"/>
        </w:pBdr>
        <w:spacing w:after="200" w:line="252" w:lineRule="auto"/>
      </w:pPr>
      <w:bookmarkStart w:id="0" w:name="_heading=h.gjdgxs" w:colFirst="0" w:colLast="0"/>
      <w:bookmarkEnd w:id="0"/>
      <w:r>
        <w:rPr>
          <w:color w:val="000000"/>
        </w:rPr>
        <w:t xml:space="preserve">Ferramentas analíticas do </w:t>
      </w:r>
      <w:hyperlink r:id="rId10">
        <w:r>
          <w:rPr>
            <w:color w:val="0000FF"/>
            <w:u w:val="single"/>
          </w:rPr>
          <w:t>Comprehensive School Improvement Toolkit</w:t>
        </w:r>
      </w:hyperlink>
      <w:r>
        <w:rPr>
          <w:color w:val="000000"/>
        </w:rPr>
        <w:t xml:space="preserve"> e </w:t>
      </w:r>
      <w:hyperlink r:id="rId11">
        <w:proofErr w:type="spellStart"/>
        <w:r>
          <w:rPr>
            <w:color w:val="0000FF"/>
            <w:u w:val="single"/>
          </w:rPr>
          <w:t>VTmtss</w:t>
        </w:r>
        <w:proofErr w:type="spellEnd"/>
        <w:r>
          <w:rPr>
            <w:color w:val="0000FF"/>
            <w:u w:val="single"/>
          </w:rPr>
          <w:t xml:space="preserve"> Framework Tools</w:t>
        </w:r>
      </w:hyperlink>
      <w:r>
        <w:rPr>
          <w:color w:val="000000"/>
        </w:rPr>
        <w:t xml:space="preserve">, </w:t>
      </w:r>
      <w:proofErr w:type="spellStart"/>
      <w:r>
        <w:rPr>
          <w:color w:val="000000"/>
        </w:rPr>
        <w:t>podem</w:t>
      </w:r>
      <w:proofErr w:type="spellEnd"/>
      <w:r>
        <w:rPr>
          <w:color w:val="000000"/>
        </w:rPr>
        <w:t xml:space="preserve"> ser </w:t>
      </w:r>
      <w:proofErr w:type="spellStart"/>
      <w:r>
        <w:rPr>
          <w:color w:val="000000"/>
        </w:rPr>
        <w:t>úteis</w:t>
      </w:r>
      <w:proofErr w:type="spellEnd"/>
      <w:r>
        <w:rPr>
          <w:color w:val="000000"/>
        </w:rPr>
        <w:t xml:space="preserve"> neste trabalho</w:t>
      </w:r>
    </w:p>
    <w:tbl>
      <w:tblPr>
        <w:tblStyle w:val="af6"/>
        <w:tblW w:w="14385"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5"/>
        <w:gridCol w:w="3300"/>
        <w:gridCol w:w="3870"/>
        <w:gridCol w:w="2970"/>
        <w:gridCol w:w="2670"/>
      </w:tblGrid>
      <w:tr w:rsidR="00FF4B40" w14:paraId="6F548FE1" w14:textId="77777777">
        <w:trPr>
          <w:tblHeader/>
        </w:trPr>
        <w:tc>
          <w:tcPr>
            <w:tcW w:w="1575" w:type="dxa"/>
            <w:tcBorders>
              <w:bottom w:val="single" w:sz="4" w:space="0" w:color="000000"/>
            </w:tcBorders>
            <w:shd w:val="clear" w:color="auto" w:fill="BFBFBF"/>
          </w:tcPr>
          <w:p w14:paraId="7D7FA045" w14:textId="77777777" w:rsidR="00FF4B40" w:rsidRDefault="00A07A2E">
            <w:pPr>
              <w:jc w:val="center"/>
              <w:rPr>
                <w:b/>
                <w:sz w:val="20"/>
                <w:szCs w:val="20"/>
              </w:rPr>
            </w:pPr>
            <w:r>
              <w:rPr>
                <w:b/>
                <w:sz w:val="20"/>
                <w:szCs w:val="20"/>
              </w:rPr>
              <w:t>Componente necessário</w:t>
            </w:r>
          </w:p>
        </w:tc>
        <w:tc>
          <w:tcPr>
            <w:tcW w:w="3300" w:type="dxa"/>
            <w:tcBorders>
              <w:bottom w:val="single" w:sz="4" w:space="0" w:color="000000"/>
            </w:tcBorders>
            <w:shd w:val="clear" w:color="auto" w:fill="BFBFBF"/>
            <w:vAlign w:val="center"/>
          </w:tcPr>
          <w:p w14:paraId="24346C08" w14:textId="77777777" w:rsidR="00FF4B40" w:rsidRDefault="00A07A2E">
            <w:pPr>
              <w:jc w:val="center"/>
              <w:rPr>
                <w:b/>
                <w:sz w:val="20"/>
                <w:szCs w:val="20"/>
              </w:rPr>
            </w:pPr>
            <w:r>
              <w:rPr>
                <w:b/>
                <w:sz w:val="20"/>
                <w:szCs w:val="20"/>
              </w:rPr>
              <w:t xml:space="preserve">Meta SU/SD priorizada </w:t>
            </w:r>
          </w:p>
        </w:tc>
        <w:tc>
          <w:tcPr>
            <w:tcW w:w="3870" w:type="dxa"/>
            <w:tcBorders>
              <w:bottom w:val="single" w:sz="4" w:space="0" w:color="000000"/>
            </w:tcBorders>
            <w:shd w:val="clear" w:color="auto" w:fill="BFBFBF"/>
            <w:vAlign w:val="center"/>
          </w:tcPr>
          <w:p w14:paraId="0A213737" w14:textId="77777777" w:rsidR="00FF4B40" w:rsidRDefault="00A07A2E">
            <w:pPr>
              <w:jc w:val="center"/>
              <w:rPr>
                <w:b/>
                <w:sz w:val="20"/>
                <w:szCs w:val="20"/>
              </w:rPr>
            </w:pPr>
            <w:r>
              <w:rPr>
                <w:b/>
                <w:sz w:val="20"/>
                <w:szCs w:val="20"/>
              </w:rPr>
              <w:t>Estratégias priorizadas/ideias de mudança</w:t>
            </w:r>
          </w:p>
        </w:tc>
        <w:tc>
          <w:tcPr>
            <w:tcW w:w="2970" w:type="dxa"/>
            <w:tcBorders>
              <w:bottom w:val="single" w:sz="4" w:space="0" w:color="000000"/>
            </w:tcBorders>
            <w:shd w:val="clear" w:color="auto" w:fill="BFBFBF"/>
            <w:vAlign w:val="center"/>
          </w:tcPr>
          <w:p w14:paraId="374FF752" w14:textId="77777777" w:rsidR="00FF4B40" w:rsidRDefault="00A07A2E">
            <w:pPr>
              <w:jc w:val="center"/>
              <w:rPr>
                <w:b/>
                <w:sz w:val="20"/>
                <w:szCs w:val="20"/>
              </w:rPr>
            </w:pPr>
            <w:r>
              <w:rPr>
                <w:b/>
                <w:sz w:val="20"/>
                <w:szCs w:val="20"/>
              </w:rPr>
              <w:t xml:space="preserve">Medidas </w:t>
            </w:r>
          </w:p>
        </w:tc>
        <w:tc>
          <w:tcPr>
            <w:tcW w:w="2670" w:type="dxa"/>
            <w:tcBorders>
              <w:bottom w:val="single" w:sz="4" w:space="0" w:color="000000"/>
            </w:tcBorders>
            <w:shd w:val="clear" w:color="auto" w:fill="BFBFBF"/>
            <w:vAlign w:val="center"/>
          </w:tcPr>
          <w:p w14:paraId="11CFE36D" w14:textId="77777777" w:rsidR="00FF4B40" w:rsidRDefault="00A07A2E">
            <w:pPr>
              <w:jc w:val="center"/>
              <w:rPr>
                <w:b/>
                <w:sz w:val="20"/>
                <w:szCs w:val="20"/>
              </w:rPr>
            </w:pPr>
            <w:r>
              <w:rPr>
                <w:b/>
                <w:sz w:val="20"/>
                <w:szCs w:val="20"/>
              </w:rPr>
              <w:t>Recursos humanos, materiais e fiscais que apoiam a implementação</w:t>
            </w:r>
          </w:p>
        </w:tc>
      </w:tr>
      <w:tr w:rsidR="00FF4B40" w14:paraId="7ACB1093" w14:textId="77777777">
        <w:trPr>
          <w:trHeight w:val="1151"/>
        </w:trPr>
        <w:tc>
          <w:tcPr>
            <w:tcW w:w="1575" w:type="dxa"/>
            <w:tcBorders>
              <w:top w:val="single" w:sz="4" w:space="0" w:color="000000"/>
              <w:left w:val="single" w:sz="4" w:space="0" w:color="000000"/>
              <w:bottom w:val="single" w:sz="4" w:space="0" w:color="000000"/>
              <w:right w:val="single" w:sz="4" w:space="0" w:color="000000"/>
            </w:tcBorders>
            <w:vAlign w:val="center"/>
          </w:tcPr>
          <w:p w14:paraId="1A20AF4A" w14:textId="77777777" w:rsidR="00FF4B40" w:rsidRDefault="00A07A2E">
            <w:pPr>
              <w:rPr>
                <w:b/>
                <w:sz w:val="20"/>
                <w:szCs w:val="20"/>
              </w:rPr>
            </w:pPr>
            <w:r>
              <w:rPr>
                <w:b/>
              </w:rPr>
              <w:t xml:space="preserve">Escolas seguras e saudáveis </w:t>
            </w:r>
          </w:p>
        </w:tc>
        <w:tc>
          <w:tcPr>
            <w:tcW w:w="3300" w:type="dxa"/>
            <w:tcBorders>
              <w:top w:val="single" w:sz="4" w:space="0" w:color="000000"/>
              <w:left w:val="single" w:sz="4" w:space="0" w:color="000000"/>
              <w:bottom w:val="single" w:sz="4" w:space="0" w:color="000000"/>
              <w:right w:val="single" w:sz="4" w:space="0" w:color="000000"/>
            </w:tcBorders>
            <w:vAlign w:val="center"/>
          </w:tcPr>
          <w:p w14:paraId="72F169CB" w14:textId="77777777" w:rsidR="00FF4B40" w:rsidRDefault="00A07A2E">
            <w:r>
              <w:t>Ajudar alunos e adultos a crescer na consciência da regulação emocional, práticas informadas sobre traumas, preconceitos culturais e práticas restaurativas que nos ajudarão a fortalecer nossos relacionamentos uns com os outros e permitir que todos estejamos em uma zona ideal para ensinar e aprender</w:t>
            </w:r>
          </w:p>
        </w:tc>
        <w:tc>
          <w:tcPr>
            <w:tcW w:w="3870" w:type="dxa"/>
            <w:tcBorders>
              <w:top w:val="single" w:sz="4" w:space="0" w:color="000000"/>
              <w:left w:val="single" w:sz="4" w:space="0" w:color="000000"/>
              <w:bottom w:val="single" w:sz="4" w:space="0" w:color="000000"/>
              <w:right w:val="single" w:sz="4" w:space="0" w:color="000000"/>
            </w:tcBorders>
            <w:vAlign w:val="center"/>
          </w:tcPr>
          <w:p w14:paraId="32748EA0"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Continuaremos a trabalhar com Mark Scott, do Centro Restaurativo Lamoille, para desenvolver nossas Práticas Restaurativas em toda a escola (funcionários e alunos). Este trabalho também incluirá falar sobre preconceito e conflito com funcionários e alunos.</w:t>
            </w:r>
          </w:p>
          <w:p w14:paraId="3C906FF5"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Implemente práticas de sala de aula responsivas em todas as salas de aula</w:t>
            </w:r>
          </w:p>
          <w:p w14:paraId="0C23F00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Continuaremos a usar e fortalecer nossos sistemas PBIS e fornecer treinamento para novos funcionários</w:t>
            </w:r>
          </w:p>
          <w:p w14:paraId="59BD320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Revisar e implementar um novo currículo para o conselheiro escolar usar nas salas de aula em relação ao antibullying</w:t>
            </w:r>
          </w:p>
          <w:p w14:paraId="4A3655A5"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 xml:space="preserve">Investigar e implementar uma ferramenta de triagem SEL para </w:t>
            </w:r>
            <w:r>
              <w:rPr>
                <w:rFonts w:ascii="Calibri" w:eastAsia="Calibri" w:hAnsi="Calibri" w:cs="Calibri"/>
                <w:color w:val="000000"/>
              </w:rPr>
              <w:lastRenderedPageBreak/>
              <w:t>todos os alunos</w:t>
            </w:r>
          </w:p>
          <w:p w14:paraId="21807FD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rPr>
              <w:t>Refinar os sistemas MTSS Acadêmico e Comportamental para que os Níveis 1-3 fluam consistentemente entre os dois lados</w:t>
            </w:r>
          </w:p>
          <w:p w14:paraId="59B65B30" w14:textId="77777777" w:rsidR="00FF4B40" w:rsidRDefault="00FF4B40"/>
        </w:tc>
        <w:tc>
          <w:tcPr>
            <w:tcW w:w="2970" w:type="dxa"/>
            <w:tcBorders>
              <w:top w:val="single" w:sz="4" w:space="0" w:color="000000"/>
              <w:left w:val="single" w:sz="4" w:space="0" w:color="000000"/>
              <w:bottom w:val="single" w:sz="4" w:space="0" w:color="000000"/>
              <w:right w:val="single" w:sz="4" w:space="0" w:color="000000"/>
            </w:tcBorders>
            <w:vAlign w:val="center"/>
          </w:tcPr>
          <w:p w14:paraId="43D51DB9"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lastRenderedPageBreak/>
              <w:t>Redução de 10% nos encaminhamentos de consultórios por agressão, bullying e interrupção de aula até junho de 2025</w:t>
            </w:r>
          </w:p>
          <w:p w14:paraId="61E22184"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Um sistema de Práticas Restaurativas de Nível II totalmente desenvolvido estará em vigor até junho de 2026, conforme medido pelos dados do SSC</w:t>
            </w:r>
            <w:r>
              <w:rPr>
                <w:rFonts w:ascii="Calibri" w:eastAsia="Calibri" w:hAnsi="Calibri" w:cs="Calibri"/>
              </w:rPr>
              <w:t xml:space="preserve"> e LRC</w:t>
            </w:r>
          </w:p>
          <w:p w14:paraId="3B2CA097"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Reuniões matinais inspiradas na sala de aula responsiva ocorrendo em todas as salas de aula até junho de 2025</w:t>
            </w:r>
          </w:p>
          <w:p w14:paraId="3A19A051"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 xml:space="preserve">Um sistema rígido estará em vigor para identificar os alunos que precisam de mais apoio SEL - pesquise </w:t>
            </w:r>
            <w:r>
              <w:rPr>
                <w:rFonts w:ascii="Calibri" w:eastAsia="Calibri" w:hAnsi="Calibri" w:cs="Calibri"/>
                <w:color w:val="000000"/>
              </w:rPr>
              <w:lastRenderedPageBreak/>
              <w:t>rastreadores universais</w:t>
            </w:r>
          </w:p>
          <w:p w14:paraId="042806A4" w14:textId="77777777" w:rsidR="00FF4B40" w:rsidRDefault="00A07A2E">
            <w:pPr>
              <w:numPr>
                <w:ilvl w:val="0"/>
                <w:numId w:val="8"/>
              </w:numPr>
              <w:pBdr>
                <w:top w:val="nil"/>
                <w:left w:val="nil"/>
                <w:bottom w:val="nil"/>
                <w:right w:val="nil"/>
                <w:between w:val="nil"/>
              </w:pBdr>
              <w:ind w:left="360"/>
              <w:rPr>
                <w:rFonts w:ascii="Calibri" w:eastAsia="Calibri" w:hAnsi="Calibri" w:cs="Calibri"/>
              </w:rPr>
            </w:pPr>
            <w:r>
              <w:rPr>
                <w:rFonts w:ascii="Calibri" w:eastAsia="Calibri" w:hAnsi="Calibri" w:cs="Calibri"/>
              </w:rPr>
              <w:t>Sistema CICO bem-sucedido até junho de 2025</w:t>
            </w:r>
          </w:p>
          <w:p w14:paraId="0E93726F" w14:textId="77777777" w:rsidR="00FF4B40" w:rsidRDefault="00FF4B40"/>
        </w:tc>
        <w:tc>
          <w:tcPr>
            <w:tcW w:w="2670" w:type="dxa"/>
            <w:tcBorders>
              <w:top w:val="single" w:sz="4" w:space="0" w:color="000000"/>
              <w:left w:val="single" w:sz="4" w:space="0" w:color="000000"/>
              <w:bottom w:val="single" w:sz="4" w:space="0" w:color="000000"/>
              <w:right w:val="single" w:sz="4" w:space="0" w:color="000000"/>
            </w:tcBorders>
            <w:vAlign w:val="center"/>
          </w:tcPr>
          <w:p w14:paraId="4999D049"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lastRenderedPageBreak/>
              <w:t xml:space="preserve">Título II-A, </w:t>
            </w:r>
          </w:p>
          <w:p w14:paraId="2CD850B2"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 xml:space="preserve">Título IV-A, </w:t>
            </w:r>
          </w:p>
          <w:p w14:paraId="019C7DC8"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ESSR</w:t>
            </w:r>
          </w:p>
          <w:p w14:paraId="6B920F36"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 xml:space="preserve">Orçamento Local </w:t>
            </w:r>
          </w:p>
          <w:p w14:paraId="5D5E753D"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4 Funcionários do Centro de Apoio ao Aluno FTE</w:t>
            </w:r>
          </w:p>
          <w:p w14:paraId="0BC49CAD" w14:textId="77777777" w:rsidR="00FF4B40" w:rsidRDefault="00FF4B40">
            <w:pPr>
              <w:pBdr>
                <w:top w:val="nil"/>
                <w:left w:val="nil"/>
                <w:bottom w:val="nil"/>
                <w:right w:val="nil"/>
                <w:between w:val="nil"/>
              </w:pBdr>
              <w:ind w:left="360" w:hanging="360"/>
              <w:rPr>
                <w:rFonts w:ascii="Calibri" w:eastAsia="Calibri" w:hAnsi="Calibri" w:cs="Calibri"/>
                <w:color w:val="000000"/>
              </w:rPr>
            </w:pPr>
          </w:p>
          <w:p w14:paraId="10BB4176" w14:textId="77777777" w:rsidR="00FF4B40" w:rsidRDefault="00A07A2E">
            <w:pPr>
              <w:rPr>
                <w:rFonts w:ascii="Calibri" w:eastAsia="Calibri" w:hAnsi="Calibri" w:cs="Calibri"/>
                <w:color w:val="000000"/>
              </w:rPr>
            </w:pPr>
            <w:r>
              <w:t>Continuar a apoiar fiscalmente ter um conselheiro escolar em tempo integral, 5: 1 de Laraway, e uma pessoa de apoio comportamental geral</w:t>
            </w:r>
          </w:p>
        </w:tc>
      </w:tr>
      <w:tr w:rsidR="00FF4B40" w14:paraId="3F1085BA" w14:textId="77777777">
        <w:trPr>
          <w:trHeight w:val="1097"/>
        </w:trPr>
        <w:tc>
          <w:tcPr>
            <w:tcW w:w="1575" w:type="dxa"/>
            <w:tcBorders>
              <w:top w:val="single" w:sz="4" w:space="0" w:color="000000"/>
              <w:left w:val="single" w:sz="4" w:space="0" w:color="000000"/>
              <w:bottom w:val="single" w:sz="4" w:space="0" w:color="000000"/>
              <w:right w:val="single" w:sz="4" w:space="0" w:color="000000"/>
            </w:tcBorders>
            <w:vAlign w:val="center"/>
          </w:tcPr>
          <w:p w14:paraId="5B47C6E5" w14:textId="77777777" w:rsidR="00FF4B40" w:rsidRDefault="00A07A2E">
            <w:pPr>
              <w:rPr>
                <w:b/>
              </w:rPr>
            </w:pPr>
            <w:bookmarkStart w:id="1" w:name="_heading=h.1fob9te" w:colFirst="0" w:colLast="0"/>
            <w:bookmarkEnd w:id="1"/>
            <w:r>
              <w:rPr>
                <w:b/>
              </w:rPr>
              <w:t>Desempenho acadêmico</w:t>
            </w:r>
          </w:p>
          <w:p w14:paraId="6BA623D1" w14:textId="77777777" w:rsidR="00FF4B40" w:rsidRDefault="00FF4B40"/>
        </w:tc>
        <w:tc>
          <w:tcPr>
            <w:tcW w:w="3300" w:type="dxa"/>
            <w:tcBorders>
              <w:top w:val="single" w:sz="4" w:space="0" w:color="000000"/>
              <w:left w:val="single" w:sz="4" w:space="0" w:color="000000"/>
              <w:bottom w:val="single" w:sz="4" w:space="0" w:color="000000"/>
              <w:right w:val="single" w:sz="4" w:space="0" w:color="000000"/>
            </w:tcBorders>
            <w:vAlign w:val="center"/>
          </w:tcPr>
          <w:p w14:paraId="5FB906F4" w14:textId="77777777" w:rsidR="00FF4B40" w:rsidRDefault="00A07A2E">
            <w:pPr>
              <w:widowControl/>
              <w:pBdr>
                <w:top w:val="nil"/>
                <w:left w:val="nil"/>
                <w:bottom w:val="nil"/>
                <w:right w:val="nil"/>
                <w:between w:val="nil"/>
              </w:pBdr>
              <w:spacing w:after="120"/>
              <w:ind w:left="101"/>
              <w:rPr>
                <w:rFonts w:ascii="Times New Roman" w:eastAsia="Times New Roman" w:hAnsi="Times New Roman" w:cs="Times New Roman"/>
                <w:color w:val="000000"/>
              </w:rPr>
            </w:pPr>
            <w:r>
              <w:rPr>
                <w:rFonts w:ascii="Times New Roman" w:eastAsia="Times New Roman" w:hAnsi="Times New Roman" w:cs="Times New Roman"/>
                <w:color w:val="000000"/>
              </w:rPr>
              <w:t>Criar uma escola equitativa onde os dados demográficos de um aluno (raça, credo, cor, nacionalidade, estado civil, deficiência, sexo, orientação sexual, identidade de gênero ou status econômico real ou percebido de um aluno ou membro da família de um aluno) não prevejam seu desempenho.  Para a área de foco de Proficiência Acadêmica, esperamos:</w:t>
            </w:r>
          </w:p>
          <w:p w14:paraId="584CAC69" w14:textId="77777777" w:rsidR="00FF4B40" w:rsidRDefault="00A07A2E">
            <w:pPr>
              <w:widowControl/>
              <w:numPr>
                <w:ilvl w:val="0"/>
                <w:numId w:val="4"/>
              </w:numPr>
              <w:pBdr>
                <w:top w:val="nil"/>
                <w:left w:val="nil"/>
                <w:bottom w:val="nil"/>
                <w:right w:val="nil"/>
                <w:between w:val="nil"/>
              </w:pBdr>
              <w:spacing w:after="120"/>
              <w:ind w:left="436" w:hanging="270"/>
              <w:rPr>
                <w:rFonts w:ascii="Noto Sans Symbols" w:eastAsia="Noto Sans Symbols" w:hAnsi="Noto Sans Symbols" w:cs="Noto Sans Symbols"/>
                <w:color w:val="000000"/>
              </w:rPr>
            </w:pPr>
            <w:r>
              <w:rPr>
                <w:rFonts w:ascii="Times New Roman" w:eastAsia="Times New Roman" w:hAnsi="Times New Roman" w:cs="Times New Roman"/>
                <w:color w:val="000000"/>
              </w:rPr>
              <w:t xml:space="preserve">aumentar a porcentagem de alunos bem-sucedidos na instrução básica em 10% até 2025. </w:t>
            </w:r>
          </w:p>
          <w:p w14:paraId="107F15F5" w14:textId="77777777" w:rsidR="00FF4B40" w:rsidRDefault="00A07A2E">
            <w:pPr>
              <w:widowControl/>
              <w:numPr>
                <w:ilvl w:val="0"/>
                <w:numId w:val="4"/>
              </w:numPr>
              <w:pBdr>
                <w:top w:val="nil"/>
                <w:left w:val="nil"/>
                <w:bottom w:val="nil"/>
                <w:right w:val="nil"/>
                <w:between w:val="nil"/>
              </w:pBdr>
              <w:spacing w:after="120"/>
              <w:ind w:left="436" w:hanging="270"/>
              <w:rPr>
                <w:rFonts w:ascii="Noto Sans Symbols" w:eastAsia="Noto Sans Symbols" w:hAnsi="Noto Sans Symbols" w:cs="Noto Sans Symbols"/>
                <w:color w:val="000000"/>
              </w:rPr>
            </w:pPr>
            <w:r>
              <w:rPr>
                <w:rFonts w:ascii="Times New Roman" w:eastAsia="Times New Roman" w:hAnsi="Times New Roman" w:cs="Times New Roman"/>
                <w:color w:val="000000"/>
              </w:rPr>
              <w:t xml:space="preserve">Nós nos tornaremos mais sistemáticos no trabalho de forma interdependente para aumentar nossa capacidade individual e coletiva de atender às necessidades dos alunos com dificuldades no </w:t>
            </w:r>
            <w:r>
              <w:rPr>
                <w:rFonts w:ascii="Times New Roman" w:eastAsia="Times New Roman" w:hAnsi="Times New Roman" w:cs="Times New Roman"/>
                <w:color w:val="000000"/>
              </w:rPr>
              <w:lastRenderedPageBreak/>
              <w:t>nível 1.  Acreditamos que atingir esse objetivo resultará em uma porcentagem maior de alunos aprovados nas avaliações SBAC e Fountas e Pinnell em sua série.</w:t>
            </w:r>
          </w:p>
          <w:p w14:paraId="767A1B5D" w14:textId="77777777" w:rsidR="00FF4B40" w:rsidRDefault="00FF4B40">
            <w:pPr>
              <w:rPr>
                <w:b/>
              </w:rPr>
            </w:pPr>
          </w:p>
        </w:tc>
        <w:tc>
          <w:tcPr>
            <w:tcW w:w="3870" w:type="dxa"/>
            <w:tcBorders>
              <w:top w:val="single" w:sz="4" w:space="0" w:color="000000"/>
              <w:left w:val="single" w:sz="4" w:space="0" w:color="000000"/>
              <w:bottom w:val="single" w:sz="4" w:space="0" w:color="000000"/>
              <w:right w:val="single" w:sz="4" w:space="0" w:color="000000"/>
            </w:tcBorders>
            <w:vAlign w:val="center"/>
          </w:tcPr>
          <w:p w14:paraId="4578A3F0" w14:textId="77777777" w:rsidR="00FF4B40" w:rsidRDefault="00FF4B40">
            <w:pPr>
              <w:pBdr>
                <w:top w:val="nil"/>
                <w:left w:val="nil"/>
                <w:bottom w:val="nil"/>
                <w:right w:val="nil"/>
                <w:between w:val="nil"/>
              </w:pBdr>
              <w:ind w:left="720"/>
              <w:rPr>
                <w:rFonts w:ascii="Calibri" w:eastAsia="Calibri" w:hAnsi="Calibri" w:cs="Calibri"/>
                <w:b/>
                <w:color w:val="000000"/>
              </w:rPr>
            </w:pPr>
          </w:p>
          <w:p w14:paraId="40361045" w14:textId="77777777" w:rsidR="00FF4B40" w:rsidRDefault="00FF4B40">
            <w:pPr>
              <w:pBdr>
                <w:top w:val="nil"/>
                <w:left w:val="nil"/>
                <w:bottom w:val="nil"/>
                <w:right w:val="nil"/>
                <w:between w:val="nil"/>
              </w:pBdr>
              <w:ind w:left="720"/>
              <w:rPr>
                <w:rFonts w:ascii="Calibri" w:eastAsia="Calibri" w:hAnsi="Calibri" w:cs="Calibri"/>
                <w:b/>
                <w:color w:val="000000"/>
              </w:rPr>
            </w:pPr>
          </w:p>
          <w:p w14:paraId="751AF7FC"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rPr>
              <w:t>Fortalecer o trabalho dos PLCs, fornecendo treinamento de coaching aos educadores</w:t>
            </w:r>
          </w:p>
          <w:p w14:paraId="26A88558" w14:textId="77777777" w:rsidR="00FF4B40" w:rsidRDefault="00A07A2E">
            <w:pPr>
              <w:numPr>
                <w:ilvl w:val="0"/>
                <w:numId w:val="6"/>
              </w:numPr>
              <w:pBdr>
                <w:top w:val="nil"/>
                <w:left w:val="nil"/>
                <w:bottom w:val="nil"/>
                <w:right w:val="nil"/>
                <w:between w:val="nil"/>
              </w:pBdr>
              <w:rPr>
                <w:rFonts w:ascii="Calibri" w:eastAsia="Calibri" w:hAnsi="Calibri" w:cs="Calibri"/>
              </w:rPr>
            </w:pPr>
            <w:r>
              <w:rPr>
                <w:rFonts w:ascii="Calibri" w:eastAsia="Calibri" w:hAnsi="Calibri" w:cs="Calibri"/>
              </w:rPr>
              <w:t xml:space="preserve">Implementar intervenções Fastbridge para todos os alunos que não atendem aos </w:t>
            </w:r>
            <w:proofErr w:type="spellStart"/>
            <w:r>
              <w:rPr>
                <w:rFonts w:ascii="Calibri" w:eastAsia="Calibri" w:hAnsi="Calibri" w:cs="Calibri"/>
              </w:rPr>
              <w:t>padrões</w:t>
            </w:r>
            <w:proofErr w:type="spellEnd"/>
            <w:r>
              <w:rPr>
                <w:rFonts w:ascii="Calibri" w:eastAsia="Calibri" w:hAnsi="Calibri" w:cs="Calibri"/>
              </w:rPr>
              <w:t xml:space="preserve"> do teste MAP</w:t>
            </w:r>
          </w:p>
          <w:p w14:paraId="2A10521E"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Trabalhe com colegas da LNSU para alinhar o currículo e garantir que os alunos recebam uma primeira instrução de alta qualidade</w:t>
            </w:r>
          </w:p>
          <w:p w14:paraId="4F2B17DF"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Implemente práticas de sala de aula responsivas em todas as salas de aula</w:t>
            </w:r>
          </w:p>
          <w:p w14:paraId="433FB116" w14:textId="77777777" w:rsidR="00FF4B40" w:rsidRDefault="00A07A2E">
            <w:pPr>
              <w:numPr>
                <w:ilvl w:val="0"/>
                <w:numId w:val="6"/>
              </w:numPr>
              <w:pBdr>
                <w:top w:val="nil"/>
                <w:left w:val="nil"/>
                <w:bottom w:val="nil"/>
                <w:right w:val="nil"/>
                <w:between w:val="nil"/>
              </w:pBdr>
            </w:pPr>
            <w:r>
              <w:rPr>
                <w:rFonts w:ascii="Calibri" w:eastAsia="Calibri" w:hAnsi="Calibri" w:cs="Calibri"/>
                <w:color w:val="000000"/>
              </w:rPr>
              <w:t xml:space="preserve">Compre e administre uma </w:t>
            </w:r>
            <w:r>
              <w:rPr>
                <w:rFonts w:ascii="Calibri" w:eastAsia="Calibri" w:hAnsi="Calibri" w:cs="Calibri"/>
              </w:rPr>
              <w:t xml:space="preserve">avaliação abrangente de crescimento em  toda </w:t>
            </w:r>
            <w:r>
              <w:rPr>
                <w:rFonts w:ascii="Calibri" w:eastAsia="Calibri" w:hAnsi="Calibri" w:cs="Calibri"/>
                <w:color w:val="000000"/>
              </w:rPr>
              <w:t xml:space="preserve"> a escola para ser usada com todos os alunos</w:t>
            </w:r>
          </w:p>
          <w:p w14:paraId="7D79621E" w14:textId="77777777" w:rsidR="00FF4B40" w:rsidRDefault="00FF4B40">
            <w:pPr>
              <w:pBdr>
                <w:top w:val="nil"/>
                <w:left w:val="nil"/>
                <w:bottom w:val="nil"/>
                <w:right w:val="nil"/>
                <w:between w:val="nil"/>
              </w:pBdr>
              <w:ind w:left="360"/>
              <w:rPr>
                <w:rFonts w:ascii="Calibri" w:eastAsia="Calibri" w:hAnsi="Calibri" w:cs="Calibri"/>
              </w:rPr>
            </w:pPr>
          </w:p>
          <w:p w14:paraId="34B623E4" w14:textId="77777777" w:rsidR="00FF4B40" w:rsidRDefault="00FF4B40">
            <w:pPr>
              <w:pBdr>
                <w:top w:val="nil"/>
                <w:left w:val="nil"/>
                <w:bottom w:val="nil"/>
                <w:right w:val="nil"/>
                <w:between w:val="nil"/>
              </w:pBdr>
              <w:ind w:left="720"/>
              <w:rPr>
                <w:rFonts w:ascii="Calibri" w:eastAsia="Calibri" w:hAnsi="Calibri" w:cs="Calibri"/>
                <w:b/>
                <w:color w:val="000000"/>
              </w:rPr>
            </w:pPr>
          </w:p>
          <w:p w14:paraId="4A8BB992" w14:textId="77777777" w:rsidR="00FF4B40" w:rsidRDefault="00FF4B40"/>
        </w:tc>
        <w:tc>
          <w:tcPr>
            <w:tcW w:w="2970" w:type="dxa"/>
            <w:tcBorders>
              <w:top w:val="single" w:sz="4" w:space="0" w:color="000000"/>
              <w:left w:val="single" w:sz="4" w:space="0" w:color="000000"/>
              <w:bottom w:val="single" w:sz="4" w:space="0" w:color="000000"/>
              <w:right w:val="single" w:sz="4" w:space="0" w:color="000000"/>
            </w:tcBorders>
            <w:vAlign w:val="center"/>
          </w:tcPr>
          <w:p w14:paraId="6D5AE469"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As atas das reuniões são feitas em cada reunião da equipe de PLC / dados para ajudar a equipe a monitorar seu progresso.  Além disso, as atas da Equipe de Liderança Acadêmica documentarão esse trabalho</w:t>
            </w:r>
          </w:p>
          <w:p w14:paraId="52F99032"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Os documentos curriculares mostrarão o nível de alinhamento</w:t>
            </w:r>
          </w:p>
          <w:p w14:paraId="4B1DB856"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Pesquisas com professores e observação principal mostrarão o nível e o sucesso da implementação do RC</w:t>
            </w:r>
          </w:p>
          <w:p w14:paraId="4E35A3D7"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As Atas da Equipe de Liderança Acadêmica documentarão este trabalho</w:t>
            </w:r>
          </w:p>
          <w:p w14:paraId="7ADB5ED2" w14:textId="77777777" w:rsidR="00FF4B40" w:rsidRDefault="00FF4B40"/>
        </w:tc>
        <w:tc>
          <w:tcPr>
            <w:tcW w:w="2670" w:type="dxa"/>
            <w:tcBorders>
              <w:top w:val="single" w:sz="4" w:space="0" w:color="000000"/>
              <w:left w:val="single" w:sz="4" w:space="0" w:color="000000"/>
              <w:bottom w:val="single" w:sz="4" w:space="0" w:color="000000"/>
              <w:right w:val="single" w:sz="4" w:space="0" w:color="000000"/>
            </w:tcBorders>
            <w:vAlign w:val="center"/>
          </w:tcPr>
          <w:p w14:paraId="4CD197D3" w14:textId="77777777" w:rsidR="00FF4B40" w:rsidRDefault="00A07A2E">
            <w:pPr>
              <w:numPr>
                <w:ilvl w:val="0"/>
                <w:numId w:val="1"/>
              </w:numPr>
              <w:pBdr>
                <w:top w:val="nil"/>
                <w:left w:val="nil"/>
                <w:bottom w:val="nil"/>
                <w:right w:val="nil"/>
                <w:between w:val="nil"/>
              </w:pBdr>
              <w:ind w:left="346" w:hanging="270"/>
              <w:rPr>
                <w:rFonts w:ascii="Calibri" w:eastAsia="Calibri" w:hAnsi="Calibri" w:cs="Calibri"/>
                <w:color w:val="000000"/>
              </w:rPr>
            </w:pPr>
            <w:r>
              <w:rPr>
                <w:rFonts w:ascii="Calibri" w:eastAsia="Calibri" w:hAnsi="Calibri" w:cs="Calibri"/>
                <w:color w:val="000000"/>
              </w:rPr>
              <w:t>Funcionários para fazer parte da Equipe de Liderança Acadêmica</w:t>
            </w:r>
          </w:p>
          <w:p w14:paraId="1FBA44F5" w14:textId="77777777" w:rsidR="00FF4B40" w:rsidRDefault="00A07A2E">
            <w:pPr>
              <w:numPr>
                <w:ilvl w:val="0"/>
                <w:numId w:val="1"/>
              </w:numPr>
              <w:pBdr>
                <w:top w:val="nil"/>
                <w:left w:val="nil"/>
                <w:bottom w:val="nil"/>
                <w:right w:val="nil"/>
                <w:between w:val="nil"/>
              </w:pBdr>
              <w:ind w:left="346" w:hanging="270"/>
              <w:rPr>
                <w:rFonts w:ascii="Calibri" w:eastAsia="Calibri" w:hAnsi="Calibri" w:cs="Calibri"/>
                <w:color w:val="000000"/>
              </w:rPr>
            </w:pPr>
            <w:r>
              <w:rPr>
                <w:rFonts w:ascii="Calibri" w:eastAsia="Calibri" w:hAnsi="Calibri" w:cs="Calibri"/>
                <w:color w:val="000000"/>
              </w:rPr>
              <w:t>Recursos para pagar funcionários por trabalho extra do orçamento local</w:t>
            </w:r>
          </w:p>
          <w:p w14:paraId="47F43389" w14:textId="77777777" w:rsidR="00FF4B40" w:rsidRDefault="00A07A2E">
            <w:pPr>
              <w:numPr>
                <w:ilvl w:val="0"/>
                <w:numId w:val="1"/>
              </w:numPr>
              <w:pBdr>
                <w:top w:val="nil"/>
                <w:left w:val="nil"/>
                <w:bottom w:val="nil"/>
                <w:right w:val="nil"/>
                <w:between w:val="nil"/>
              </w:pBdr>
              <w:spacing w:after="200"/>
              <w:ind w:left="346" w:hanging="270"/>
              <w:rPr>
                <w:rFonts w:ascii="Calibri" w:eastAsia="Calibri" w:hAnsi="Calibri" w:cs="Calibri"/>
                <w:color w:val="000000"/>
              </w:rPr>
            </w:pPr>
            <w:r>
              <w:rPr>
                <w:rFonts w:ascii="Calibri" w:eastAsia="Calibri" w:hAnsi="Calibri" w:cs="Calibri"/>
                <w:color w:val="000000"/>
              </w:rPr>
              <w:t>Horário de reunião para a equipe</w:t>
            </w:r>
          </w:p>
          <w:p w14:paraId="7E69E203" w14:textId="77777777" w:rsidR="00FF4B40" w:rsidRDefault="00FF4B40"/>
        </w:tc>
      </w:tr>
    </w:tbl>
    <w:p w14:paraId="77E6F4FA" w14:textId="77777777" w:rsidR="00FF4B40" w:rsidRDefault="00A07A2E">
      <w:pPr>
        <w:pBdr>
          <w:top w:val="nil"/>
          <w:left w:val="nil"/>
          <w:bottom w:val="nil"/>
          <w:right w:val="nil"/>
          <w:between w:val="nil"/>
        </w:pBdr>
        <w:rPr>
          <w:b/>
          <w:color w:val="000000"/>
          <w:sz w:val="20"/>
          <w:szCs w:val="20"/>
        </w:rPr>
      </w:pPr>
      <w:r>
        <w:rPr>
          <w:b/>
          <w:color w:val="000000"/>
          <w:sz w:val="20"/>
          <w:szCs w:val="20"/>
        </w:rPr>
        <w:t xml:space="preserve">Se você quiser incluir metas específicas para uma escola individual e/ou tiver mais metas SU/SD, poderá criar linhas adicionais. </w:t>
      </w:r>
    </w:p>
    <w:p w14:paraId="725114CD"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2B97F196"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7F1BDDBB" w14:textId="77777777" w:rsidR="00FF4B40" w:rsidRDefault="00A07A2E">
      <w:pPr>
        <w:pBdr>
          <w:top w:val="nil"/>
          <w:left w:val="nil"/>
          <w:bottom w:val="nil"/>
          <w:right w:val="nil"/>
          <w:between w:val="nil"/>
        </w:pBdr>
        <w:rPr>
          <w:rFonts w:ascii="Libre Franklin" w:eastAsia="Libre Franklin" w:hAnsi="Libre Franklin" w:cs="Libre Franklin"/>
          <w:color w:val="000000"/>
          <w:sz w:val="28"/>
          <w:szCs w:val="28"/>
        </w:rPr>
      </w:pPr>
      <w:r>
        <w:rPr>
          <w:rFonts w:ascii="Libre Franklin" w:eastAsia="Libre Franklin" w:hAnsi="Libre Franklin" w:cs="Libre Franklin"/>
          <w:b/>
          <w:color w:val="000000"/>
          <w:sz w:val="28"/>
          <w:szCs w:val="28"/>
        </w:rPr>
        <w:t>Suportes de Patrimônio</w:t>
      </w:r>
      <w:r>
        <w:rPr>
          <w:rFonts w:ascii="Libre Franklin" w:eastAsia="Libre Franklin" w:hAnsi="Libre Franklin" w:cs="Libre Franklin"/>
          <w:color w:val="000000"/>
          <w:sz w:val="28"/>
          <w:szCs w:val="28"/>
        </w:rPr>
        <w:t xml:space="preserve"> (necessário se o seu SU/SD ou uma escola específica for elegível para Suportes de Equidade)</w:t>
      </w:r>
    </w:p>
    <w:p w14:paraId="6B1651C2" w14:textId="77777777" w:rsidR="00FF4B40" w:rsidRDefault="00A07A2E">
      <w:r>
        <w:t>Se alguma escola em sua LEA - ou na LEA como um todo - for elegível para apoio de equidade, liste quais das metas ou estratégias acima abordam um motivo para a elegibilidade.  Se nenhuma das metas ou estratégias abordar a elegibilidade, identifique uma meta ou estratégia separada para cada entidade elegível para apoios.</w:t>
      </w:r>
    </w:p>
    <w:p w14:paraId="524B5EDC" w14:textId="77777777" w:rsidR="00FF4B40" w:rsidRDefault="00FF4B40"/>
    <w:tbl>
      <w:tblPr>
        <w:tblStyle w:val="af7"/>
        <w:tblW w:w="14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3240"/>
        <w:gridCol w:w="3150"/>
        <w:gridCol w:w="2880"/>
        <w:gridCol w:w="2785"/>
      </w:tblGrid>
      <w:tr w:rsidR="00FF4B40" w14:paraId="4C1E86FF" w14:textId="77777777">
        <w:tc>
          <w:tcPr>
            <w:tcW w:w="2335" w:type="dxa"/>
            <w:shd w:val="clear" w:color="auto" w:fill="BFBFBF"/>
          </w:tcPr>
          <w:p w14:paraId="3083009B" w14:textId="77777777" w:rsidR="00FF4B40" w:rsidRDefault="00FF4B40">
            <w:pPr>
              <w:pBdr>
                <w:top w:val="nil"/>
                <w:left w:val="nil"/>
                <w:bottom w:val="nil"/>
                <w:right w:val="nil"/>
                <w:between w:val="nil"/>
              </w:pBdr>
              <w:jc w:val="center"/>
              <w:rPr>
                <w:b/>
                <w:color w:val="000000"/>
                <w:sz w:val="20"/>
                <w:szCs w:val="20"/>
              </w:rPr>
            </w:pPr>
          </w:p>
          <w:p w14:paraId="2CBAF641"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LEA ou Escola Elegível</w:t>
            </w:r>
          </w:p>
          <w:p w14:paraId="1B85DB15" w14:textId="77777777" w:rsidR="00FF4B40" w:rsidRDefault="00FF4B40">
            <w:pPr>
              <w:pBdr>
                <w:top w:val="nil"/>
                <w:left w:val="nil"/>
                <w:bottom w:val="nil"/>
                <w:right w:val="nil"/>
                <w:between w:val="nil"/>
              </w:pBdr>
              <w:jc w:val="center"/>
              <w:rPr>
                <w:b/>
                <w:color w:val="000000"/>
                <w:sz w:val="20"/>
                <w:szCs w:val="20"/>
              </w:rPr>
            </w:pPr>
          </w:p>
        </w:tc>
        <w:tc>
          <w:tcPr>
            <w:tcW w:w="3240" w:type="dxa"/>
            <w:shd w:val="clear" w:color="auto" w:fill="BFBFBF"/>
          </w:tcPr>
          <w:p w14:paraId="79326255" w14:textId="77777777" w:rsidR="00FF4B40" w:rsidRDefault="00FF4B40">
            <w:pPr>
              <w:pBdr>
                <w:top w:val="nil"/>
                <w:left w:val="nil"/>
                <w:bottom w:val="nil"/>
                <w:right w:val="nil"/>
                <w:between w:val="nil"/>
              </w:pBdr>
              <w:jc w:val="center"/>
              <w:rPr>
                <w:b/>
                <w:color w:val="000000"/>
                <w:sz w:val="20"/>
                <w:szCs w:val="20"/>
              </w:rPr>
            </w:pPr>
          </w:p>
          <w:p w14:paraId="1CF34F71"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Meta priorizada</w:t>
            </w:r>
          </w:p>
        </w:tc>
        <w:tc>
          <w:tcPr>
            <w:tcW w:w="3150" w:type="dxa"/>
            <w:shd w:val="clear" w:color="auto" w:fill="BFBFBF"/>
          </w:tcPr>
          <w:p w14:paraId="3D3B5F91" w14:textId="77777777" w:rsidR="00FF4B40" w:rsidRDefault="00FF4B40">
            <w:pPr>
              <w:pBdr>
                <w:top w:val="nil"/>
                <w:left w:val="nil"/>
                <w:bottom w:val="nil"/>
                <w:right w:val="nil"/>
                <w:between w:val="nil"/>
              </w:pBdr>
              <w:jc w:val="center"/>
              <w:rPr>
                <w:b/>
                <w:color w:val="000000"/>
                <w:sz w:val="20"/>
                <w:szCs w:val="20"/>
              </w:rPr>
            </w:pPr>
          </w:p>
          <w:p w14:paraId="29CE1C63"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Estratégias priorizadas/ideias de mudança</w:t>
            </w:r>
          </w:p>
        </w:tc>
        <w:tc>
          <w:tcPr>
            <w:tcW w:w="2880" w:type="dxa"/>
            <w:shd w:val="clear" w:color="auto" w:fill="BFBFBF"/>
          </w:tcPr>
          <w:p w14:paraId="6323CC38" w14:textId="77777777" w:rsidR="00FF4B40" w:rsidRDefault="00FF4B40">
            <w:pPr>
              <w:pBdr>
                <w:top w:val="nil"/>
                <w:left w:val="nil"/>
                <w:bottom w:val="nil"/>
                <w:right w:val="nil"/>
                <w:between w:val="nil"/>
              </w:pBdr>
              <w:jc w:val="center"/>
              <w:rPr>
                <w:b/>
                <w:color w:val="000000"/>
                <w:sz w:val="20"/>
                <w:szCs w:val="20"/>
              </w:rPr>
            </w:pPr>
          </w:p>
          <w:p w14:paraId="6F5E5A68"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Medidas</w:t>
            </w:r>
          </w:p>
        </w:tc>
        <w:tc>
          <w:tcPr>
            <w:tcW w:w="2785" w:type="dxa"/>
            <w:shd w:val="clear" w:color="auto" w:fill="BFBFBF"/>
          </w:tcPr>
          <w:p w14:paraId="11BF2E5C" w14:textId="77777777" w:rsidR="00FF4B40" w:rsidRDefault="00FF4B40">
            <w:pPr>
              <w:pBdr>
                <w:top w:val="nil"/>
                <w:left w:val="nil"/>
                <w:bottom w:val="nil"/>
                <w:right w:val="nil"/>
                <w:between w:val="nil"/>
              </w:pBdr>
              <w:jc w:val="center"/>
              <w:rPr>
                <w:b/>
                <w:color w:val="000000"/>
                <w:sz w:val="20"/>
                <w:szCs w:val="20"/>
              </w:rPr>
            </w:pPr>
          </w:p>
          <w:p w14:paraId="6E624C85"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Recursos humanos, materiais e fiscais de apoio à execução</w:t>
            </w:r>
          </w:p>
        </w:tc>
      </w:tr>
      <w:tr w:rsidR="00FF4B40" w14:paraId="4CCFD5EE" w14:textId="77777777">
        <w:tc>
          <w:tcPr>
            <w:tcW w:w="2335" w:type="dxa"/>
          </w:tcPr>
          <w:p w14:paraId="4A2DC81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9610F70" w14:textId="77777777" w:rsidR="00FF4B40" w:rsidRDefault="00A07A2E">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Não aplicável</w:t>
            </w:r>
          </w:p>
        </w:tc>
        <w:tc>
          <w:tcPr>
            <w:tcW w:w="3240" w:type="dxa"/>
          </w:tcPr>
          <w:p w14:paraId="7B9A1EA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62975DEF"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63FB9587"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45A457F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2E75C592" w14:textId="77777777">
        <w:tc>
          <w:tcPr>
            <w:tcW w:w="2335" w:type="dxa"/>
          </w:tcPr>
          <w:p w14:paraId="5C4EE992"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A63654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3231031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1D50B9A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3CEF7198"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48E5AEF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09EBA96F" w14:textId="77777777">
        <w:tc>
          <w:tcPr>
            <w:tcW w:w="2335" w:type="dxa"/>
          </w:tcPr>
          <w:p w14:paraId="7729405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04961C5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0DC98A60"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07CE3FC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0E71399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28BA30B7"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4401415C" w14:textId="77777777">
        <w:tc>
          <w:tcPr>
            <w:tcW w:w="2335" w:type="dxa"/>
          </w:tcPr>
          <w:p w14:paraId="30CFCFB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2F601810"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1487F854"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3F4E722D"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3F7F0303"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06A35BB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bl>
    <w:p w14:paraId="7F3538C4" w14:textId="77777777" w:rsidR="00FF4B40" w:rsidRDefault="00A07A2E">
      <w:pPr>
        <w:pBdr>
          <w:top w:val="nil"/>
          <w:left w:val="nil"/>
          <w:bottom w:val="nil"/>
          <w:right w:val="nil"/>
          <w:between w:val="nil"/>
        </w:pBdr>
        <w:rPr>
          <w:b/>
          <w:color w:val="000000"/>
          <w:sz w:val="20"/>
          <w:szCs w:val="20"/>
        </w:rPr>
      </w:pPr>
      <w:r>
        <w:rPr>
          <w:b/>
          <w:color w:val="000000"/>
          <w:sz w:val="20"/>
          <w:szCs w:val="20"/>
        </w:rPr>
        <w:lastRenderedPageBreak/>
        <w:t>Adicione linhas adicionais, se necessário</w:t>
      </w:r>
    </w:p>
    <w:p w14:paraId="37CFA8F2"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34911B6A"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3DD580A2" w14:textId="77777777" w:rsidR="00FF4B40" w:rsidRDefault="00FF4B40">
      <w:pPr>
        <w:pBdr>
          <w:top w:val="nil"/>
          <w:left w:val="nil"/>
          <w:bottom w:val="nil"/>
          <w:right w:val="nil"/>
          <w:between w:val="nil"/>
        </w:pBdr>
        <w:rPr>
          <w:rFonts w:ascii="Libre Franklin" w:eastAsia="Libre Franklin" w:hAnsi="Libre Franklin" w:cs="Libre Franklin"/>
          <w:b/>
          <w:color w:val="000000"/>
          <w:sz w:val="28"/>
          <w:szCs w:val="28"/>
        </w:rPr>
      </w:pPr>
    </w:p>
    <w:p w14:paraId="42B4997F"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25718464" w14:textId="77777777" w:rsidR="00FF4B40" w:rsidRDefault="00A07A2E">
      <w:pPr>
        <w:pBdr>
          <w:top w:val="nil"/>
          <w:left w:val="nil"/>
          <w:bottom w:val="nil"/>
          <w:right w:val="nil"/>
          <w:between w:val="nil"/>
        </w:pBdr>
        <w:rPr>
          <w:rFonts w:ascii="Libre Franklin" w:eastAsia="Libre Franklin" w:hAnsi="Libre Franklin" w:cs="Libre Franklin"/>
          <w:sz w:val="28"/>
          <w:szCs w:val="28"/>
        </w:rPr>
      </w:pPr>
      <w:r>
        <w:br w:type="page"/>
      </w:r>
    </w:p>
    <w:p w14:paraId="0EF0AF59" w14:textId="77777777" w:rsidR="00FF4B40" w:rsidRDefault="00A07A2E">
      <w:pPr>
        <w:pBdr>
          <w:top w:val="nil"/>
          <w:left w:val="nil"/>
          <w:bottom w:val="nil"/>
          <w:right w:val="nil"/>
          <w:between w:val="nil"/>
        </w:pBdr>
        <w:rPr>
          <w:rFonts w:ascii="Libre Franklin" w:eastAsia="Libre Franklin" w:hAnsi="Libre Franklin" w:cs="Libre Franklin"/>
          <w:b/>
          <w:color w:val="000000"/>
          <w:sz w:val="28"/>
          <w:szCs w:val="28"/>
        </w:rPr>
      </w:pPr>
      <w:r>
        <w:rPr>
          <w:rFonts w:ascii="Libre Franklin" w:eastAsia="Libre Franklin" w:hAnsi="Libre Franklin" w:cs="Libre Franklin"/>
          <w:color w:val="000000"/>
          <w:sz w:val="28"/>
          <w:szCs w:val="28"/>
        </w:rPr>
        <w:lastRenderedPageBreak/>
        <w:t>Avaliação e revisão do plano</w:t>
      </w:r>
    </w:p>
    <w:p w14:paraId="42839397" w14:textId="77777777" w:rsidR="00FF4B40" w:rsidRDefault="00A07A2E">
      <w:pPr>
        <w:pBdr>
          <w:top w:val="nil"/>
          <w:left w:val="nil"/>
          <w:bottom w:val="nil"/>
          <w:right w:val="nil"/>
          <w:between w:val="nil"/>
        </w:pBdr>
        <w:rPr>
          <w:rFonts w:ascii="Libre Franklin" w:eastAsia="Libre Franklin" w:hAnsi="Libre Franklin" w:cs="Libre Franklin"/>
          <w:b/>
          <w:color w:val="000000"/>
          <w:sz w:val="28"/>
          <w:szCs w:val="28"/>
        </w:rPr>
      </w:pPr>
      <w:r>
        <w:rPr>
          <w:color w:val="000000"/>
        </w:rPr>
        <w:t>Descreva o processo de como você avalia a implementação dos planos e os resultados alcançados.  Como essas informações são usadas para revisar os planos para garantir que você esteja alcançando os resultados desejados?</w:t>
      </w:r>
      <w:r>
        <w:rPr>
          <w:rFonts w:ascii="Libre Franklin" w:eastAsia="Libre Franklin" w:hAnsi="Libre Franklin" w:cs="Libre Franklin"/>
          <w:b/>
          <w:color w:val="000000"/>
          <w:sz w:val="28"/>
          <w:szCs w:val="28"/>
        </w:rPr>
        <w:br/>
      </w:r>
    </w:p>
    <w:tbl>
      <w:tblPr>
        <w:tblStyle w:val="af8"/>
        <w:tblW w:w="14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90"/>
      </w:tblGrid>
      <w:tr w:rsidR="00FF4B40" w14:paraId="1BF7224F" w14:textId="77777777">
        <w:tc>
          <w:tcPr>
            <w:tcW w:w="14390" w:type="dxa"/>
            <w:shd w:val="clear" w:color="auto" w:fill="BFBFBF"/>
          </w:tcPr>
          <w:p w14:paraId="4CC1F2C7" w14:textId="77777777" w:rsidR="00FF4B40" w:rsidRDefault="00FF4B40">
            <w:pPr>
              <w:pBdr>
                <w:top w:val="nil"/>
                <w:left w:val="nil"/>
                <w:bottom w:val="nil"/>
                <w:right w:val="nil"/>
                <w:between w:val="nil"/>
              </w:pBdr>
              <w:jc w:val="center"/>
              <w:rPr>
                <w:b/>
                <w:color w:val="000000"/>
                <w:sz w:val="20"/>
                <w:szCs w:val="20"/>
              </w:rPr>
            </w:pPr>
            <w:bookmarkStart w:id="2" w:name="_heading=h.3znysh7" w:colFirst="0" w:colLast="0"/>
            <w:bookmarkEnd w:id="2"/>
          </w:p>
          <w:p w14:paraId="478B9DD9"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Processo de Avaliação da Implementação e Resultados do seu Plano de Melhoria Contínua</w:t>
            </w:r>
          </w:p>
          <w:p w14:paraId="52337AB4" w14:textId="77777777" w:rsidR="00FF4B40" w:rsidRDefault="00FF4B40">
            <w:pPr>
              <w:pBdr>
                <w:top w:val="nil"/>
                <w:left w:val="nil"/>
                <w:bottom w:val="nil"/>
                <w:right w:val="nil"/>
                <w:between w:val="nil"/>
              </w:pBdr>
              <w:jc w:val="center"/>
              <w:rPr>
                <w:rFonts w:ascii="Times New Roman" w:eastAsia="Times New Roman" w:hAnsi="Times New Roman" w:cs="Times New Roman"/>
                <w:b/>
                <w:color w:val="000000"/>
                <w:sz w:val="20"/>
                <w:szCs w:val="20"/>
              </w:rPr>
            </w:pPr>
          </w:p>
        </w:tc>
      </w:tr>
      <w:tr w:rsidR="00FF4B40" w14:paraId="2EBA8BF3" w14:textId="77777777">
        <w:tc>
          <w:tcPr>
            <w:tcW w:w="14390" w:type="dxa"/>
          </w:tcPr>
          <w:p w14:paraId="72EBFF25" w14:textId="77777777" w:rsidR="00FF4B40" w:rsidRDefault="00A07A2E">
            <w:pPr>
              <w:pBdr>
                <w:top w:val="nil"/>
                <w:left w:val="nil"/>
                <w:bottom w:val="nil"/>
                <w:right w:val="nil"/>
                <w:between w:val="nil"/>
              </w:pBdr>
              <w:spacing w:after="24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Processo de Avaliação da Implementação do nosso CIP</w:t>
            </w:r>
          </w:p>
          <w:p w14:paraId="62A83576" w14:textId="77777777" w:rsidR="00FF4B40" w:rsidRDefault="00A07A2E">
            <w:pPr>
              <w:numPr>
                <w:ilvl w:val="0"/>
                <w:numId w:val="3"/>
              </w:numPr>
              <w:pBdr>
                <w:top w:val="nil"/>
                <w:left w:val="nil"/>
                <w:bottom w:val="nil"/>
                <w:right w:val="nil"/>
                <w:between w:val="nil"/>
              </w:pBdr>
              <w:spacing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equipe de liderança do JES (diretor e representantes de várias equipes de ensino) terá o papel principal de supervisionar o processo de melhoria contínua.  Eles se reúnem duas vezes por mês para revisar o progresso que as equipes de ensino estão fazendo nas metas acadêmicas, seguras e saudáveis. Os membros também participam de reuniões semanais da equipe PLC</w:t>
            </w:r>
          </w:p>
          <w:p w14:paraId="6A17D5D8"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primavera de 2024, a equipe instrucional e comportamental do JES se reunirá para concluir as "Informações de Inventário de Dados 2023-2024" para fins de avaliação de nosso CIP atual e para desenvolver nossos planos futuros para toda a escola. A equipe será solicitada a analisar a avaliação dos alunos e dados anedóticos e responder a muitas perguntas sobre o desempenho de nossos alunos e quais estratégias e intervenções ajudariam os alunos que não estavam atendendo aos padrões acadêmicos estaduais.</w:t>
            </w:r>
          </w:p>
          <w:p w14:paraId="2F73A17A" w14:textId="77777777" w:rsidR="00FF4B40" w:rsidRDefault="00FF4B40">
            <w:pPr>
              <w:pBdr>
                <w:top w:val="nil"/>
                <w:left w:val="nil"/>
                <w:bottom w:val="nil"/>
                <w:right w:val="nil"/>
                <w:between w:val="nil"/>
              </w:pBdr>
              <w:rPr>
                <w:rFonts w:ascii="Times New Roman" w:eastAsia="Times New Roman" w:hAnsi="Times New Roman" w:cs="Times New Roman"/>
                <w:color w:val="000000"/>
                <w:sz w:val="24"/>
                <w:szCs w:val="24"/>
              </w:rPr>
            </w:pPr>
          </w:p>
          <w:p w14:paraId="02068F47" w14:textId="77777777" w:rsidR="00FF4B40" w:rsidRDefault="00A07A2E">
            <w:pPr>
              <w:pBdr>
                <w:top w:val="nil"/>
                <w:left w:val="nil"/>
                <w:bottom w:val="nil"/>
                <w:right w:val="nil"/>
                <w:between w:val="nil"/>
              </w:pBd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Resultados da implementação bem-sucedida</w:t>
            </w:r>
          </w:p>
          <w:p w14:paraId="50B354FC" w14:textId="77777777" w:rsidR="00FF4B40" w:rsidRDefault="00FF4B40">
            <w:pPr>
              <w:pBdr>
                <w:top w:val="nil"/>
                <w:left w:val="nil"/>
                <w:bottom w:val="nil"/>
                <w:right w:val="nil"/>
                <w:between w:val="nil"/>
              </w:pBdr>
              <w:rPr>
                <w:rFonts w:ascii="Times New Roman" w:eastAsia="Times New Roman" w:hAnsi="Times New Roman" w:cs="Times New Roman"/>
                <w:color w:val="000000"/>
                <w:sz w:val="24"/>
                <w:szCs w:val="24"/>
              </w:rPr>
            </w:pPr>
          </w:p>
          <w:p w14:paraId="0AD01840"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 alunos aprenderão em um nível mais alto, conforme evidenciado pelo aumento no número de alunos com desempenho no nível da série das avaliações SBAC, Fountas e Pinell, MAP e Bridges.</w:t>
            </w:r>
          </w:p>
          <w:p w14:paraId="6C3F0B6A"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 alunos sentirão um sentimento mais forte de pertencimento (além disso, mais alunos sentirão que pertencem), conforme evidenciado por uma redução nas referências ao escritório e alta satisfação na pesquisa SEL dos alunos</w:t>
            </w:r>
          </w:p>
          <w:p w14:paraId="49A5DC3D"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Haverá uma diminuição nos alunos relatando não ter um adulto de confiança no JES</w:t>
            </w:r>
          </w:p>
          <w:p w14:paraId="7AFEFE3A"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bookmarkStart w:id="3" w:name="_heading=h.2et92p0" w:colFirst="0" w:colLast="0"/>
            <w:bookmarkEnd w:id="3"/>
            <w:r>
              <w:rPr>
                <w:rFonts w:ascii="Times New Roman" w:eastAsia="Times New Roman" w:hAnsi="Times New Roman" w:cs="Times New Roman"/>
                <w:color w:val="000000"/>
                <w:sz w:val="24"/>
                <w:szCs w:val="24"/>
              </w:rPr>
              <w:t xml:space="preserve">Os professores terão habilidades aumentadas na implementação de um currículo alinhado e na criação de climas positivos em sala de aula que estimulem os alunos a crescer até seu desenvolvimento ideal. </w:t>
            </w:r>
          </w:p>
          <w:p w14:paraId="236BF0C2"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Veremos uma redução na evasão escolar </w:t>
            </w:r>
          </w:p>
          <w:p w14:paraId="7EFFF55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3C74645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83A7E53"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70D27BE"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bl>
    <w:p w14:paraId="4597C0A5" w14:textId="410FEAFB"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sectPr w:rsidR="00FF4B40">
      <w:footerReference w:type="default" r:id="rId12"/>
      <w:headerReference w:type="first" r:id="rId13"/>
      <w:pgSz w:w="15840" w:h="12240" w:orient="landscape"/>
      <w:pgMar w:top="1440" w:right="720" w:bottom="1440" w:left="720" w:header="72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7BBE" w14:textId="77777777" w:rsidR="001601DA" w:rsidRDefault="001601DA">
      <w:r>
        <w:separator/>
      </w:r>
    </w:p>
  </w:endnote>
  <w:endnote w:type="continuationSeparator" w:id="0">
    <w:p w14:paraId="61B47657" w14:textId="77777777" w:rsidR="001601DA" w:rsidRDefault="0016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740EFA4-4E35-7C4F-8A23-DD629A5901B1}"/>
    <w:embedBold r:id="rId2" w:fontKey="{B93EA70A-6853-E342-9DE6-C0030E51D5B9}"/>
    <w:embedItalic r:id="rId3" w:fontKey="{43D70E0F-EC42-9448-BC0C-270989EDD622}"/>
    <w:embedBoldItalic r:id="rId4" w:fontKey="{33CC2C52-1844-D14D-AD9F-A4B74B5313A9}"/>
  </w:font>
  <w:font w:name="Courier New">
    <w:panose1 w:val="02070309020205020404"/>
    <w:charset w:val="00"/>
    <w:family w:val="modern"/>
    <w:pitch w:val="fixed"/>
    <w:sig w:usb0="E0002AFF" w:usb1="C0007843" w:usb2="00000009" w:usb3="00000000" w:csb0="000001FF" w:csb1="00000000"/>
    <w:embedRegular r:id="rId5" w:fontKey="{79EAEDD8-B911-8B47-A325-73591EE3A116}"/>
  </w:font>
  <w:font w:name="Noto Sans Symbols">
    <w:charset w:val="00"/>
    <w:family w:val="auto"/>
    <w:pitch w:val="default"/>
    <w:embedRegular r:id="rId6" w:fontKey="{A4D330EC-BF09-E845-8AB9-3BAD48CDE367}"/>
  </w:font>
  <w:font w:name="Palatino Linotype">
    <w:panose1 w:val="02040502050505030304"/>
    <w:charset w:val="00"/>
    <w:family w:val="roman"/>
    <w:pitch w:val="variable"/>
    <w:sig w:usb0="E0000287" w:usb1="40000013" w:usb2="00000000" w:usb3="00000000" w:csb0="0000019F" w:csb1="00000000"/>
    <w:embedRegular r:id="rId7" w:fontKey="{DB542830-FB56-314E-A052-170679A0E2AC}"/>
    <w:embedBold r:id="rId8" w:fontKey="{6A1D1F4D-A10B-4F43-84C3-B0CB9722B133}"/>
    <w:embedItalic r:id="rId9" w:fontKey="{1105B1BD-1A02-C342-AD39-1B00D8494859}"/>
  </w:font>
  <w:font w:name="Franklin Gothic Demi Cond">
    <w:panose1 w:val="020B0706030402020204"/>
    <w:charset w:val="00"/>
    <w:family w:val="swiss"/>
    <w:pitch w:val="variable"/>
    <w:sig w:usb0="00000287" w:usb1="00000000" w:usb2="00000000" w:usb3="00000000" w:csb0="0000009F" w:csb1="00000000"/>
    <w:embedRegular r:id="rId10" w:fontKey="{D0B4EFA7-2856-6745-ABD0-56FEE9D0285B}"/>
  </w:font>
  <w:font w:name="Franklin Gothic Demi">
    <w:panose1 w:val="020B0703020102020204"/>
    <w:charset w:val="00"/>
    <w:family w:val="swiss"/>
    <w:pitch w:val="variable"/>
    <w:sig w:usb0="00000287" w:usb1="00000000" w:usb2="00000000" w:usb3="00000000" w:csb0="0000009F" w:csb1="00000000"/>
    <w:embedRegular r:id="rId11" w:fontKey="{4EADF562-EB16-FF44-8D01-4EF15FF3410D}"/>
    <w:embedItalic r:id="rId12" w:fontKey="{443C9255-19E3-094A-AB56-F12ECA1EDFD1}"/>
  </w:font>
  <w:font w:name="Calibri">
    <w:panose1 w:val="020F0502020204030204"/>
    <w:charset w:val="00"/>
    <w:family w:val="swiss"/>
    <w:pitch w:val="variable"/>
    <w:sig w:usb0="E0002AFF" w:usb1="C000247B" w:usb2="00000009" w:usb3="00000000" w:csb0="000001FF" w:csb1="00000000"/>
    <w:embedRegular r:id="rId13" w:fontKey="{8E4766EC-38ED-6840-A096-431D93F72667}"/>
    <w:embedBold r:id="rId14" w:fontKey="{59FC4C76-AE1F-6E4B-AD50-ABA8E275073E}"/>
  </w:font>
  <w:font w:name="Tahoma">
    <w:panose1 w:val="020B0604030504040204"/>
    <w:charset w:val="00"/>
    <w:family w:val="swiss"/>
    <w:pitch w:val="variable"/>
    <w:sig w:usb0="E1002EFF" w:usb1="C000605B" w:usb2="00000029" w:usb3="00000000" w:csb0="000101FF" w:csb1="00000000"/>
    <w:embedRegular r:id="rId15" w:fontKey="{AA73861D-9536-C648-A93C-8AE61DAB4BAA}"/>
  </w:font>
  <w:font w:name="Georgia">
    <w:panose1 w:val="02040502050405020303"/>
    <w:charset w:val="00"/>
    <w:family w:val="roman"/>
    <w:pitch w:val="variable"/>
    <w:sig w:usb0="00000287" w:usb1="00000000" w:usb2="00000000" w:usb3="00000000" w:csb0="0000009F" w:csb1="00000000"/>
    <w:embedRegular r:id="rId16" w:fontKey="{D885D7CD-D518-914C-8BBA-9EF0FFDEAD74}"/>
    <w:embedItalic r:id="rId17" w:fontKey="{734991D6-CF6B-0A45-A929-2B4B89F5199F}"/>
  </w:font>
  <w:font w:name="Libre Franklin">
    <w:panose1 w:val="00000000000000000000"/>
    <w:charset w:val="4D"/>
    <w:family w:val="auto"/>
    <w:pitch w:val="variable"/>
    <w:sig w:usb0="A00000FF" w:usb1="4000205B" w:usb2="00000000" w:usb3="00000000" w:csb0="00000193" w:csb1="00000000"/>
    <w:embedRegular r:id="rId18" w:fontKey="{94FC8C90-B9B9-A440-A495-47824F4B92C8}"/>
    <w:embedBold r:id="rId19" w:fontKey="{A59024F2-3EAE-8F4E-9AF0-0A4B92E5E3E9}"/>
  </w:font>
  <w:font w:name="Cambria">
    <w:panose1 w:val="02040503050406030204"/>
    <w:charset w:val="00"/>
    <w:family w:val="roman"/>
    <w:pitch w:val="variable"/>
    <w:sig w:usb0="E00006FF" w:usb1="420024FF" w:usb2="02000000" w:usb3="00000000" w:csb0="0000019F" w:csb1="00000000"/>
    <w:embedRegular r:id="rId20" w:fontKey="{F599E179-25B1-6A47-BD49-028ED3066C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318" w14:textId="77777777" w:rsidR="00FF4B40" w:rsidRDefault="00FF4B40">
    <w:pPr>
      <w:pBdr>
        <w:top w:val="nil"/>
        <w:left w:val="nil"/>
        <w:bottom w:val="nil"/>
        <w:right w:val="nil"/>
        <w:between w:val="nil"/>
      </w:pBdr>
      <w:spacing w:line="276" w:lineRule="auto"/>
      <w:rPr>
        <w:color w:val="000000"/>
        <w:sz w:val="2"/>
        <w:szCs w:val="2"/>
      </w:rPr>
    </w:pPr>
  </w:p>
  <w:tbl>
    <w:tblPr>
      <w:tblStyle w:val="afa"/>
      <w:tblW w:w="14400" w:type="dxa"/>
      <w:tblInd w:w="-115"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4800"/>
      <w:gridCol w:w="4797"/>
      <w:gridCol w:w="4803"/>
    </w:tblGrid>
    <w:tr w:rsidR="00FF4B40" w14:paraId="75CBAF51" w14:textId="77777777">
      <w:trPr>
        <w:trHeight w:val="633"/>
        <w:tblHeader/>
      </w:trPr>
      <w:tc>
        <w:tcPr>
          <w:tcW w:w="4800" w:type="dxa"/>
        </w:tcPr>
        <w:p w14:paraId="470F5224" w14:textId="77777777" w:rsidR="00FF4B40" w:rsidRDefault="00A07A2E">
          <w:pPr>
            <w:pBdr>
              <w:top w:val="nil"/>
              <w:left w:val="nil"/>
              <w:bottom w:val="nil"/>
              <w:right w:val="nil"/>
              <w:between w:val="nil"/>
            </w:pBdr>
            <w:tabs>
              <w:tab w:val="left" w:pos="4680"/>
              <w:tab w:val="right" w:pos="9360"/>
            </w:tabs>
            <w:rPr>
              <w:color w:val="000000"/>
              <w:sz w:val="20"/>
              <w:szCs w:val="20"/>
            </w:rPr>
          </w:pPr>
          <w:r>
            <w:rPr>
              <w:color w:val="000000"/>
              <w:sz w:val="20"/>
              <w:szCs w:val="20"/>
            </w:rPr>
            <w:t xml:space="preserve">Plano de Melhoria Contínua(Revisado: </w:t>
          </w:r>
          <w:r>
            <w:rPr>
              <w:sz w:val="20"/>
              <w:szCs w:val="20"/>
            </w:rPr>
            <w:t>15 de julho de</w:t>
          </w:r>
          <w:r>
            <w:rPr>
              <w:color w:val="000000"/>
              <w:sz w:val="20"/>
              <w:szCs w:val="20"/>
            </w:rPr>
            <w:t xml:space="preserve"> 2024)</w:t>
          </w:r>
        </w:p>
      </w:tc>
      <w:tc>
        <w:tcPr>
          <w:tcW w:w="4797" w:type="dxa"/>
        </w:tcPr>
        <w:p w14:paraId="31CF016D" w14:textId="77777777" w:rsidR="00FF4B40" w:rsidRDefault="00A07A2E">
          <w:pPr>
            <w:pBdr>
              <w:top w:val="nil"/>
              <w:left w:val="nil"/>
              <w:bottom w:val="nil"/>
              <w:right w:val="nil"/>
              <w:between w:val="nil"/>
            </w:pBdr>
            <w:tabs>
              <w:tab w:val="left" w:pos="4680"/>
              <w:tab w:val="right" w:pos="9360"/>
            </w:tabs>
            <w:jc w:val="center"/>
            <w:rPr>
              <w:color w:val="000000"/>
              <w:sz w:val="20"/>
              <w:szCs w:val="20"/>
            </w:rPr>
          </w:pPr>
          <w:r>
            <w:rPr>
              <w:color w:val="000000"/>
              <w:sz w:val="20"/>
              <w:szCs w:val="20"/>
            </w:rPr>
            <w:t xml:space="preserve">Página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noProof/>
              <w:color w:val="000000"/>
              <w:sz w:val="20"/>
              <w:szCs w:val="20"/>
            </w:rPr>
            <w:t>2</w:t>
          </w:r>
          <w:r>
            <w:rPr>
              <w:b/>
              <w:color w:val="000000"/>
              <w:sz w:val="20"/>
              <w:szCs w:val="20"/>
            </w:rPr>
            <w:fldChar w:fldCharType="end"/>
          </w:r>
          <w:r>
            <w:rPr>
              <w:color w:val="000000"/>
              <w:sz w:val="20"/>
              <w:szCs w:val="20"/>
            </w:rPr>
            <w:t xml:space="preserve"> de </w:t>
          </w:r>
          <w:r>
            <w:rPr>
              <w:color w:val="000000"/>
              <w:sz w:val="20"/>
              <w:szCs w:val="20"/>
            </w:rPr>
            <w:fldChar w:fldCharType="begin"/>
          </w:r>
          <w:r>
            <w:rPr>
              <w:color w:val="000000"/>
              <w:sz w:val="20"/>
              <w:szCs w:val="20"/>
            </w:rPr>
            <w:instrText>NUMPAGES</w:instrText>
          </w:r>
          <w:r>
            <w:rPr>
              <w:color w:val="000000"/>
              <w:sz w:val="20"/>
              <w:szCs w:val="20"/>
            </w:rPr>
            <w:fldChar w:fldCharType="separate"/>
          </w:r>
          <w:r>
            <w:rPr>
              <w:noProof/>
              <w:color w:val="000000"/>
              <w:sz w:val="20"/>
              <w:szCs w:val="20"/>
            </w:rPr>
            <w:t>3</w:t>
          </w:r>
          <w:r>
            <w:rPr>
              <w:color w:val="000000"/>
              <w:sz w:val="20"/>
              <w:szCs w:val="20"/>
            </w:rPr>
            <w:fldChar w:fldCharType="end"/>
          </w:r>
        </w:p>
      </w:tc>
      <w:tc>
        <w:tcPr>
          <w:tcW w:w="4803" w:type="dxa"/>
        </w:tcPr>
        <w:p w14:paraId="6D767DF9" w14:textId="77777777" w:rsidR="00FF4B40" w:rsidRDefault="00A07A2E">
          <w:pPr>
            <w:pBdr>
              <w:top w:val="nil"/>
              <w:left w:val="nil"/>
              <w:bottom w:val="nil"/>
              <w:right w:val="nil"/>
              <w:between w:val="nil"/>
            </w:pBdr>
            <w:tabs>
              <w:tab w:val="left" w:pos="4680"/>
              <w:tab w:val="right" w:pos="9360"/>
            </w:tabs>
            <w:jc w:val="right"/>
            <w:rPr>
              <w:color w:val="000000"/>
              <w:sz w:val="20"/>
              <w:szCs w:val="20"/>
            </w:rPr>
          </w:pPr>
          <w:r>
            <w:rPr>
              <w:noProof/>
              <w:color w:val="000000"/>
              <w:sz w:val="20"/>
              <w:szCs w:val="20"/>
            </w:rPr>
            <w:drawing>
              <wp:inline distT="0" distB="0" distL="0" distR="0" wp14:anchorId="123A737A" wp14:editId="676CD992">
                <wp:extent cx="1458349" cy="365760"/>
                <wp:effectExtent l="0" t="0" r="0" b="0"/>
                <wp:docPr id="13" name="image2.png" descr="Logotipo AOE"/>
                <wp:cNvGraphicFramePr/>
                <a:graphic xmlns:a="http://schemas.openxmlformats.org/drawingml/2006/main">
                  <a:graphicData uri="http://schemas.openxmlformats.org/drawingml/2006/picture">
                    <pic:pic xmlns:pic="http://schemas.openxmlformats.org/drawingml/2006/picture">
                      <pic:nvPicPr>
                        <pic:cNvPr id="0" name="image2.png" descr="AOE logo"/>
                        <pic:cNvPicPr preferRelativeResize="0"/>
                      </pic:nvPicPr>
                      <pic:blipFill>
                        <a:blip r:embed="rId1"/>
                        <a:srcRect/>
                        <a:stretch>
                          <a:fillRect/>
                        </a:stretch>
                      </pic:blipFill>
                      <pic:spPr>
                        <a:xfrm>
                          <a:off x="0" y="0"/>
                          <a:ext cx="1458349" cy="365760"/>
                        </a:xfrm>
                        <a:prstGeom prst="rect">
                          <a:avLst/>
                        </a:prstGeom>
                        <a:ln/>
                      </pic:spPr>
                    </pic:pic>
                  </a:graphicData>
                </a:graphic>
              </wp:inline>
            </w:drawing>
          </w:r>
        </w:p>
      </w:tc>
    </w:tr>
  </w:tbl>
  <w:p w14:paraId="2211ABFE" w14:textId="77777777" w:rsidR="00FF4B40" w:rsidRDefault="00FF4B40">
    <w:pPr>
      <w:pBdr>
        <w:top w:val="nil"/>
        <w:left w:val="nil"/>
        <w:bottom w:val="nil"/>
        <w:right w:val="nil"/>
        <w:between w:val="nil"/>
      </w:pBdr>
      <w:tabs>
        <w:tab w:val="left" w:pos="4680"/>
        <w:tab w:val="right" w:pos="9360"/>
      </w:tabs>
      <w:rPr>
        <w:color w:val="000000"/>
        <w:sz w:val="4"/>
        <w:szCs w:val="4"/>
      </w:rPr>
    </w:pPr>
  </w:p>
  <w:p w14:paraId="1AFFE29A" w14:textId="77777777" w:rsidR="00FF4B40" w:rsidRDefault="00FF4B40">
    <w:pPr>
      <w:pBdr>
        <w:top w:val="nil"/>
        <w:left w:val="nil"/>
        <w:bottom w:val="nil"/>
        <w:right w:val="nil"/>
        <w:between w:val="nil"/>
      </w:pBdr>
      <w:tabs>
        <w:tab w:val="left"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5CB9C" w14:textId="77777777" w:rsidR="001601DA" w:rsidRDefault="001601DA">
      <w:r>
        <w:separator/>
      </w:r>
    </w:p>
  </w:footnote>
  <w:footnote w:type="continuationSeparator" w:id="0">
    <w:p w14:paraId="491A61B9" w14:textId="77777777" w:rsidR="001601DA" w:rsidRDefault="0016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81D9" w14:textId="77777777" w:rsidR="00FF4B40" w:rsidRDefault="00FF4B4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bl>
    <w:tblPr>
      <w:tblStyle w:val="af9"/>
      <w:tblW w:w="14585" w:type="dxa"/>
      <w:tblInd w:w="-383" w:type="dxa"/>
      <w:tblBorders>
        <w:top w:val="nil"/>
        <w:left w:val="nil"/>
        <w:bottom w:val="single" w:sz="8" w:space="0" w:color="000000"/>
        <w:right w:val="nil"/>
        <w:insideH w:val="nil"/>
        <w:insideV w:val="nil"/>
      </w:tblBorders>
      <w:tblLayout w:type="fixed"/>
      <w:tblLook w:val="0400" w:firstRow="0" w:lastRow="0" w:firstColumn="0" w:lastColumn="0" w:noHBand="0" w:noVBand="1"/>
    </w:tblPr>
    <w:tblGrid>
      <w:gridCol w:w="9005"/>
      <w:gridCol w:w="5580"/>
    </w:tblGrid>
    <w:tr w:rsidR="00FF4B40" w14:paraId="14795AF2" w14:textId="77777777">
      <w:tc>
        <w:tcPr>
          <w:tcW w:w="9005" w:type="dxa"/>
        </w:tcPr>
        <w:p w14:paraId="23FA08F2" w14:textId="77777777" w:rsidR="00FF4B40" w:rsidRDefault="00A07A2E">
          <w:pPr>
            <w:pBdr>
              <w:top w:val="nil"/>
              <w:left w:val="nil"/>
              <w:bottom w:val="nil"/>
              <w:right w:val="nil"/>
              <w:between w:val="nil"/>
            </w:pBdr>
            <w:rPr>
              <w:color w:val="000000"/>
              <w:sz w:val="20"/>
              <w:szCs w:val="20"/>
            </w:rPr>
          </w:pPr>
          <w:bookmarkStart w:id="4" w:name="_heading=h.tyjcwt" w:colFirst="0" w:colLast="0"/>
          <w:bookmarkEnd w:id="4"/>
          <w:r>
            <w:rPr>
              <w:noProof/>
              <w:color w:val="000000"/>
            </w:rPr>
            <w:drawing>
              <wp:inline distT="0" distB="0" distL="0" distR="0" wp14:anchorId="55E3B677" wp14:editId="1BDBD9CF">
                <wp:extent cx="1576705" cy="411480"/>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76705" cy="411480"/>
                        </a:xfrm>
                        <a:prstGeom prst="rect">
                          <a:avLst/>
                        </a:prstGeom>
                        <a:ln/>
                      </pic:spPr>
                    </pic:pic>
                  </a:graphicData>
                </a:graphic>
              </wp:inline>
            </w:drawing>
          </w:r>
        </w:p>
      </w:tc>
      <w:tc>
        <w:tcPr>
          <w:tcW w:w="5580" w:type="dxa"/>
        </w:tcPr>
        <w:p w14:paraId="4A35FEB6" w14:textId="77777777" w:rsidR="00FF4B40" w:rsidRDefault="00A07A2E">
          <w:pPr>
            <w:pBdr>
              <w:top w:val="nil"/>
              <w:left w:val="nil"/>
              <w:bottom w:val="nil"/>
              <w:right w:val="nil"/>
              <w:between w:val="nil"/>
            </w:pBdr>
            <w:rPr>
              <w:color w:val="000000"/>
              <w:sz w:val="20"/>
              <w:szCs w:val="20"/>
            </w:rPr>
          </w:pPr>
          <w:bookmarkStart w:id="5" w:name="_heading=h.3dy6vkm" w:colFirst="0" w:colLast="0"/>
          <w:bookmarkEnd w:id="5"/>
          <w:r>
            <w:rPr>
              <w:color w:val="000000"/>
              <w:sz w:val="20"/>
              <w:szCs w:val="20"/>
            </w:rPr>
            <w:t>1 National Life Drive, Davis 5, Montpelier, VT 05620-2501(p) 802-828-1130 | (f) 802-828-6430 | education.vermont.gov</w:t>
          </w:r>
        </w:p>
      </w:tc>
    </w:tr>
  </w:tbl>
  <w:p w14:paraId="0EA2ACB1" w14:textId="77777777" w:rsidR="00FF4B40" w:rsidRDefault="00FF4B40">
    <w:pPr>
      <w:pBdr>
        <w:top w:val="nil"/>
        <w:left w:val="nil"/>
        <w:bottom w:val="nil"/>
        <w:right w:val="nil"/>
        <w:between w:val="nil"/>
      </w:pBdr>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25C"/>
    <w:multiLevelType w:val="multilevel"/>
    <w:tmpl w:val="5DAAC2FE"/>
    <w:lvl w:ilvl="0">
      <w:start w:val="1"/>
      <w:numFmt w:val="decimal"/>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763166A"/>
    <w:multiLevelType w:val="multilevel"/>
    <w:tmpl w:val="439C39C6"/>
    <w:lvl w:ilvl="0">
      <w:start w:val="1"/>
      <w:numFmt w:val="decimal"/>
      <w:pStyle w:val="AOEBulleted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A72FCB"/>
    <w:multiLevelType w:val="multilevel"/>
    <w:tmpl w:val="8E18A6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D92727D"/>
    <w:multiLevelType w:val="multilevel"/>
    <w:tmpl w:val="D5ACD9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D91A95"/>
    <w:multiLevelType w:val="multilevel"/>
    <w:tmpl w:val="0694969C"/>
    <w:lvl w:ilvl="0">
      <w:start w:val="1"/>
      <w:numFmt w:val="bullet"/>
      <w:lvlText w:val="●"/>
      <w:lvlJc w:val="left"/>
      <w:pPr>
        <w:ind w:left="0" w:hanging="360"/>
      </w:pPr>
      <w:rPr>
        <w:rFonts w:ascii="Noto Sans Symbols" w:eastAsia="Noto Sans Symbols" w:hAnsi="Noto Sans Symbols" w:cs="Noto Sans Symbols"/>
        <w:sz w:val="20"/>
        <w:szCs w:val="20"/>
      </w:rPr>
    </w:lvl>
    <w:lvl w:ilvl="1">
      <w:start w:val="1"/>
      <w:numFmt w:val="decimal"/>
      <w:lvlText w:val="%2."/>
      <w:lvlJc w:val="left"/>
      <w:pPr>
        <w:ind w:left="720" w:hanging="360"/>
      </w:pPr>
    </w:lvl>
    <w:lvl w:ilvl="2">
      <w:start w:val="1"/>
      <w:numFmt w:val="bullet"/>
      <w:lvlText w:val="▪"/>
      <w:lvlJc w:val="left"/>
      <w:pPr>
        <w:ind w:left="1440" w:hanging="360"/>
      </w:pPr>
      <w:rPr>
        <w:rFonts w:ascii="Noto Sans Symbols" w:eastAsia="Noto Sans Symbols" w:hAnsi="Noto Sans Symbols" w:cs="Noto Sans Symbols"/>
        <w:sz w:val="20"/>
        <w:szCs w:val="20"/>
      </w:rPr>
    </w:lvl>
    <w:lvl w:ilvl="3">
      <w:start w:val="1"/>
      <w:numFmt w:val="bullet"/>
      <w:lvlText w:val="▪"/>
      <w:lvlJc w:val="left"/>
      <w:pPr>
        <w:ind w:left="2160" w:hanging="360"/>
      </w:pPr>
      <w:rPr>
        <w:rFonts w:ascii="Noto Sans Symbols" w:eastAsia="Noto Sans Symbols" w:hAnsi="Noto Sans Symbols" w:cs="Noto Sans Symbols"/>
        <w:sz w:val="20"/>
        <w:szCs w:val="20"/>
      </w:rPr>
    </w:lvl>
    <w:lvl w:ilvl="4">
      <w:start w:val="1"/>
      <w:numFmt w:val="bullet"/>
      <w:lvlText w:val="▪"/>
      <w:lvlJc w:val="left"/>
      <w:pPr>
        <w:ind w:left="2880" w:hanging="360"/>
      </w:pPr>
      <w:rPr>
        <w:rFonts w:ascii="Noto Sans Symbols" w:eastAsia="Noto Sans Symbols" w:hAnsi="Noto Sans Symbols" w:cs="Noto Sans Symbols"/>
        <w:sz w:val="20"/>
        <w:szCs w:val="20"/>
      </w:rPr>
    </w:lvl>
    <w:lvl w:ilvl="5">
      <w:start w:val="1"/>
      <w:numFmt w:val="bullet"/>
      <w:lvlText w:val="▪"/>
      <w:lvlJc w:val="left"/>
      <w:pPr>
        <w:ind w:left="3600" w:hanging="360"/>
      </w:pPr>
      <w:rPr>
        <w:rFonts w:ascii="Noto Sans Symbols" w:eastAsia="Noto Sans Symbols" w:hAnsi="Noto Sans Symbols" w:cs="Noto Sans Symbols"/>
        <w:sz w:val="20"/>
        <w:szCs w:val="20"/>
      </w:rPr>
    </w:lvl>
    <w:lvl w:ilvl="6">
      <w:start w:val="1"/>
      <w:numFmt w:val="bullet"/>
      <w:lvlText w:val="▪"/>
      <w:lvlJc w:val="left"/>
      <w:pPr>
        <w:ind w:left="4320" w:hanging="360"/>
      </w:pPr>
      <w:rPr>
        <w:rFonts w:ascii="Noto Sans Symbols" w:eastAsia="Noto Sans Symbols" w:hAnsi="Noto Sans Symbols" w:cs="Noto Sans Symbols"/>
        <w:sz w:val="20"/>
        <w:szCs w:val="20"/>
      </w:rPr>
    </w:lvl>
    <w:lvl w:ilvl="7">
      <w:start w:val="1"/>
      <w:numFmt w:val="bullet"/>
      <w:lvlText w:val="▪"/>
      <w:lvlJc w:val="left"/>
      <w:pPr>
        <w:ind w:left="5040" w:hanging="360"/>
      </w:pPr>
      <w:rPr>
        <w:rFonts w:ascii="Noto Sans Symbols" w:eastAsia="Noto Sans Symbols" w:hAnsi="Noto Sans Symbols" w:cs="Noto Sans Symbols"/>
        <w:sz w:val="20"/>
        <w:szCs w:val="20"/>
      </w:rPr>
    </w:lvl>
    <w:lvl w:ilvl="8">
      <w:start w:val="1"/>
      <w:numFmt w:val="bullet"/>
      <w:lvlText w:val="▪"/>
      <w:lvlJc w:val="left"/>
      <w:pPr>
        <w:ind w:left="5760" w:hanging="360"/>
      </w:pPr>
      <w:rPr>
        <w:rFonts w:ascii="Noto Sans Symbols" w:eastAsia="Noto Sans Symbols" w:hAnsi="Noto Sans Symbols" w:cs="Noto Sans Symbols"/>
        <w:sz w:val="20"/>
        <w:szCs w:val="20"/>
      </w:rPr>
    </w:lvl>
  </w:abstractNum>
  <w:abstractNum w:abstractNumId="5" w15:restartNumberingAfterBreak="0">
    <w:nsid w:val="46113BC1"/>
    <w:multiLevelType w:val="multilevel"/>
    <w:tmpl w:val="334C5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3E3E57"/>
    <w:multiLevelType w:val="multilevel"/>
    <w:tmpl w:val="7DBE6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374D2B"/>
    <w:multiLevelType w:val="multilevel"/>
    <w:tmpl w:val="5AD4F1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FBB366C"/>
    <w:multiLevelType w:val="multilevel"/>
    <w:tmpl w:val="1526B6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858540397">
    <w:abstractNumId w:val="3"/>
  </w:num>
  <w:num w:numId="2" w16cid:durableId="593783754">
    <w:abstractNumId w:val="8"/>
  </w:num>
  <w:num w:numId="3" w16cid:durableId="1302809310">
    <w:abstractNumId w:val="2"/>
  </w:num>
  <w:num w:numId="4" w16cid:durableId="1619335939">
    <w:abstractNumId w:val="4"/>
  </w:num>
  <w:num w:numId="5" w16cid:durableId="469521130">
    <w:abstractNumId w:val="6"/>
  </w:num>
  <w:num w:numId="6" w16cid:durableId="177669261">
    <w:abstractNumId w:val="0"/>
  </w:num>
  <w:num w:numId="7" w16cid:durableId="989865850">
    <w:abstractNumId w:val="5"/>
  </w:num>
  <w:num w:numId="8" w16cid:durableId="1051877720">
    <w:abstractNumId w:val="7"/>
  </w:num>
  <w:num w:numId="9" w16cid:durableId="2028211313">
    <w:abstractNumId w:val="1"/>
  </w:num>
  <w:num w:numId="10" w16cid:durableId="2103141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B40"/>
    <w:rsid w:val="001601DA"/>
    <w:rsid w:val="004D702B"/>
    <w:rsid w:val="00633716"/>
    <w:rsid w:val="00A07A2E"/>
    <w:rsid w:val="00FF4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FF2B6C"/>
  <w15:docId w15:val="{D928D187-3738-CC4D-B996-685861C2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OE - Normal"/>
    <w:qFormat/>
    <w:rsid w:val="00781940"/>
    <w:pPr>
      <w:autoSpaceDE w:val="0"/>
      <w:autoSpaceDN w:val="0"/>
    </w:pPr>
  </w:style>
  <w:style w:type="paragraph" w:styleId="Heading1">
    <w:name w:val="heading 1"/>
    <w:aliases w:val="AOE - Heading 1"/>
    <w:basedOn w:val="Normal"/>
    <w:next w:val="Normal"/>
    <w:link w:val="Heading1Char"/>
    <w:uiPriority w:val="9"/>
    <w:qFormat/>
    <w:rsid w:val="00147A67"/>
    <w:pPr>
      <w:spacing w:before="240"/>
      <w:outlineLvl w:val="0"/>
    </w:pPr>
    <w:rPr>
      <w:rFonts w:ascii="Franklin Gothic Demi Cond" w:hAnsi="Franklin Gothic Demi Cond"/>
      <w:bCs/>
      <w:sz w:val="28"/>
    </w:rPr>
  </w:style>
  <w:style w:type="paragraph" w:styleId="Heading2">
    <w:name w:val="heading 2"/>
    <w:aliases w:val="AOE - Heading 2"/>
    <w:basedOn w:val="Heading1"/>
    <w:next w:val="Normal"/>
    <w:link w:val="Heading2Char"/>
    <w:uiPriority w:val="9"/>
    <w:semiHidden/>
    <w:unhideWhenUsed/>
    <w:qFormat/>
    <w:rsid w:val="008A0832"/>
    <w:pPr>
      <w:outlineLvl w:val="1"/>
    </w:pPr>
    <w:rPr>
      <w:rFonts w:ascii="Franklin Gothic Demi" w:hAnsi="Franklin Gothic Demi"/>
      <w:sz w:val="24"/>
    </w:rPr>
  </w:style>
  <w:style w:type="paragraph" w:styleId="Heading3">
    <w:name w:val="heading 3"/>
    <w:aliases w:val="AOE Heading 3"/>
    <w:basedOn w:val="Heading2"/>
    <w:next w:val="Normal"/>
    <w:link w:val="Heading3Char"/>
    <w:uiPriority w:val="9"/>
    <w:semiHidden/>
    <w:unhideWhenUsed/>
    <w:qFormat/>
    <w:rsid w:val="008A0832"/>
    <w:pPr>
      <w:ind w:left="720"/>
      <w:outlineLvl w:val="2"/>
    </w:pPr>
  </w:style>
  <w:style w:type="paragraph" w:styleId="Heading4">
    <w:name w:val="heading 4"/>
    <w:aliases w:val="AOE Heading 4"/>
    <w:basedOn w:val="Heading3"/>
    <w:next w:val="Normal"/>
    <w:link w:val="Heading4Char"/>
    <w:uiPriority w:val="9"/>
    <w:semiHidden/>
    <w:unhideWhenUsed/>
    <w:qFormat/>
    <w:rsid w:val="004460D4"/>
    <w:pPr>
      <w:keepNext/>
      <w:keepLines/>
      <w:spacing w:before="200"/>
      <w:outlineLvl w:val="3"/>
    </w:pPr>
    <w:rPr>
      <w:rFonts w:eastAsiaTheme="majorEastAsia" w:cstheme="majorBidi"/>
      <w:bCs w:val="0"/>
      <w:i/>
      <w:iCs/>
      <w:color w:val="000000" w:themeColor="text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AOE - Title"/>
    <w:basedOn w:val="Normal"/>
    <w:next w:val="Normal"/>
    <w:link w:val="TitleChar"/>
    <w:uiPriority w:val="10"/>
    <w:qFormat/>
    <w:rsid w:val="00147A67"/>
    <w:pPr>
      <w:spacing w:before="360" w:after="240" w:line="276" w:lineRule="auto"/>
      <w:jc w:val="center"/>
    </w:pPr>
    <w:rPr>
      <w:rFonts w:ascii="Franklin Gothic Demi Cond" w:hAnsi="Franklin Gothic Demi Cond"/>
      <w:sz w:val="36"/>
    </w:rPr>
  </w:style>
  <w:style w:type="paragraph" w:styleId="Header">
    <w:name w:val="header"/>
    <w:basedOn w:val="Normal"/>
    <w:link w:val="HeaderChar"/>
    <w:uiPriority w:val="99"/>
    <w:unhideWhenUsed/>
    <w:rsid w:val="00340C0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40C04"/>
  </w:style>
  <w:style w:type="paragraph" w:styleId="Footer">
    <w:name w:val="footer"/>
    <w:basedOn w:val="Normal"/>
    <w:link w:val="FooterChar"/>
    <w:uiPriority w:val="99"/>
    <w:unhideWhenUsed/>
    <w:rsid w:val="004460D4"/>
    <w:pPr>
      <w:tabs>
        <w:tab w:val="left" w:pos="4680"/>
        <w:tab w:val="right" w:pos="9360"/>
      </w:tabs>
    </w:pPr>
    <w:rPr>
      <w:rFonts w:eastAsiaTheme="minorHAnsi" w:cstheme="minorBidi"/>
      <w:sz w:val="20"/>
    </w:rPr>
  </w:style>
  <w:style w:type="character" w:customStyle="1" w:styleId="FooterChar">
    <w:name w:val="Footer Char"/>
    <w:basedOn w:val="DefaultParagraphFont"/>
    <w:link w:val="Footer"/>
    <w:uiPriority w:val="99"/>
    <w:rsid w:val="004460D4"/>
    <w:rPr>
      <w:rFonts w:ascii="Palatino Linotype" w:hAnsi="Palatino Linotype"/>
      <w:bCs/>
      <w:sz w:val="20"/>
    </w:rPr>
  </w:style>
  <w:style w:type="paragraph" w:styleId="BalloonText">
    <w:name w:val="Balloon Text"/>
    <w:basedOn w:val="Normal"/>
    <w:link w:val="BalloonTextChar"/>
    <w:uiPriority w:val="99"/>
    <w:semiHidden/>
    <w:unhideWhenUsed/>
    <w:rsid w:val="00340C0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40C04"/>
    <w:rPr>
      <w:rFonts w:ascii="Tahoma" w:hAnsi="Tahoma" w:cs="Tahoma"/>
      <w:sz w:val="16"/>
      <w:szCs w:val="16"/>
    </w:rPr>
  </w:style>
  <w:style w:type="character" w:styleId="Hyperlink">
    <w:name w:val="Hyperlink"/>
    <w:basedOn w:val="DefaultParagraphFont"/>
    <w:uiPriority w:val="99"/>
    <w:unhideWhenUsed/>
    <w:rsid w:val="0087647A"/>
    <w:rPr>
      <w:rFonts w:cs="Times New Roman"/>
      <w:color w:val="0000FF" w:themeColor="hyperlink"/>
      <w:u w:val="single"/>
    </w:rPr>
  </w:style>
  <w:style w:type="character" w:styleId="FollowedHyperlink">
    <w:name w:val="FollowedHyperlink"/>
    <w:basedOn w:val="DefaultParagraphFont"/>
    <w:uiPriority w:val="99"/>
    <w:semiHidden/>
    <w:unhideWhenUsed/>
    <w:rsid w:val="0087647A"/>
    <w:rPr>
      <w:rFonts w:cs="Times New Roman"/>
      <w:color w:val="800080" w:themeColor="followedHyperlink"/>
      <w:u w:val="single"/>
    </w:rPr>
  </w:style>
  <w:style w:type="paragraph" w:styleId="ListParagraph">
    <w:name w:val="List Paragraph"/>
    <w:basedOn w:val="Normal"/>
    <w:link w:val="ListParagraphChar"/>
    <w:uiPriority w:val="34"/>
    <w:qFormat/>
    <w:rsid w:val="0087647A"/>
    <w:pPr>
      <w:spacing w:after="200" w:line="276" w:lineRule="auto"/>
      <w:ind w:left="720"/>
      <w:contextualSpacing/>
    </w:pPr>
    <w:rPr>
      <w:rFonts w:asciiTheme="minorHAnsi" w:eastAsiaTheme="minorEastAsia" w:hAnsiTheme="minorHAnsi"/>
    </w:rPr>
  </w:style>
  <w:style w:type="character" w:styleId="Strong">
    <w:name w:val="Strong"/>
    <w:basedOn w:val="DefaultParagraphFont"/>
    <w:uiPriority w:val="22"/>
    <w:rsid w:val="00575711"/>
    <w:rPr>
      <w:b/>
      <w:bCs/>
    </w:rPr>
  </w:style>
  <w:style w:type="table" w:styleId="TableGrid">
    <w:name w:val="Table Grid"/>
    <w:basedOn w:val="TableNormal"/>
    <w:uiPriority w:val="39"/>
    <w:rsid w:val="00937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C1F88"/>
    <w:rPr>
      <w:color w:val="808080"/>
    </w:rPr>
  </w:style>
  <w:style w:type="character" w:customStyle="1" w:styleId="Heading1Char">
    <w:name w:val="Heading 1 Char"/>
    <w:aliases w:val="AOE - Heading 1 Char"/>
    <w:basedOn w:val="DefaultParagraphFont"/>
    <w:link w:val="Heading1"/>
    <w:uiPriority w:val="9"/>
    <w:rsid w:val="00147A67"/>
    <w:rPr>
      <w:rFonts w:ascii="Franklin Gothic Demi Cond" w:eastAsia="Times New Roman" w:hAnsi="Franklin Gothic Demi Cond" w:cs="Calibri"/>
      <w:sz w:val="28"/>
    </w:rPr>
  </w:style>
  <w:style w:type="character" w:customStyle="1" w:styleId="TitleChar">
    <w:name w:val="Title Char"/>
    <w:aliases w:val="AOE - Title Char"/>
    <w:basedOn w:val="DefaultParagraphFont"/>
    <w:link w:val="Title"/>
    <w:uiPriority w:val="10"/>
    <w:rsid w:val="00147A67"/>
    <w:rPr>
      <w:rFonts w:ascii="Franklin Gothic Demi Cond" w:eastAsia="Times New Roman" w:hAnsi="Franklin Gothic Demi Cond" w:cs="Calibri"/>
      <w:bCs/>
      <w:sz w:val="36"/>
    </w:rPr>
  </w:style>
  <w:style w:type="paragraph" w:customStyle="1" w:styleId="AOE-Header">
    <w:name w:val="AOE - Header"/>
    <w:basedOn w:val="Normal"/>
    <w:link w:val="AOE-HeaderChar"/>
    <w:rsid w:val="004062C7"/>
    <w:pPr>
      <w:jc w:val="center"/>
    </w:pPr>
    <w:rPr>
      <w:noProof/>
    </w:rPr>
  </w:style>
  <w:style w:type="character" w:customStyle="1" w:styleId="Heading2Char">
    <w:name w:val="Heading 2 Char"/>
    <w:aliases w:val="AOE - Heading 2 Char"/>
    <w:basedOn w:val="DefaultParagraphFont"/>
    <w:link w:val="Heading2"/>
    <w:uiPriority w:val="9"/>
    <w:rsid w:val="008A0832"/>
    <w:rPr>
      <w:rFonts w:ascii="Franklin Gothic Demi" w:eastAsia="Times New Roman" w:hAnsi="Franklin Gothic Demi" w:cs="Calibri"/>
      <w:sz w:val="24"/>
    </w:rPr>
  </w:style>
  <w:style w:type="character" w:customStyle="1" w:styleId="AOE-HeaderChar">
    <w:name w:val="AOE - Header Char"/>
    <w:basedOn w:val="DefaultParagraphFont"/>
    <w:link w:val="AOE-Header"/>
    <w:rsid w:val="004062C7"/>
    <w:rPr>
      <w:rFonts w:ascii="Palatino Linotype" w:eastAsia="Times New Roman" w:hAnsi="Palatino Linotype" w:cs="Calibri"/>
      <w:bCs/>
      <w:noProof/>
    </w:rPr>
  </w:style>
  <w:style w:type="character" w:customStyle="1" w:styleId="Heading3Char">
    <w:name w:val="Heading 3 Char"/>
    <w:aliases w:val="AOE Heading 3 Char"/>
    <w:basedOn w:val="DefaultParagraphFont"/>
    <w:link w:val="Heading3"/>
    <w:uiPriority w:val="9"/>
    <w:rsid w:val="008A0832"/>
    <w:rPr>
      <w:rFonts w:ascii="Franklin Gothic Demi" w:eastAsia="Times New Roman" w:hAnsi="Franklin Gothic Demi" w:cs="Calibri"/>
      <w:sz w:val="24"/>
    </w:rPr>
  </w:style>
  <w:style w:type="character" w:customStyle="1" w:styleId="Heading4Char">
    <w:name w:val="Heading 4 Char"/>
    <w:aliases w:val="AOE Heading 4 Char"/>
    <w:basedOn w:val="DefaultParagraphFont"/>
    <w:link w:val="Heading4"/>
    <w:uiPriority w:val="9"/>
    <w:rsid w:val="004460D4"/>
    <w:rPr>
      <w:rFonts w:ascii="Franklin Gothic Demi" w:eastAsiaTheme="majorEastAsia" w:hAnsi="Franklin Gothic Demi" w:cstheme="majorBidi"/>
      <w:bCs/>
      <w:i/>
      <w:iCs/>
      <w:color w:val="000000" w:themeColor="text1"/>
      <w:sz w:val="24"/>
    </w:rPr>
  </w:style>
  <w:style w:type="paragraph" w:customStyle="1" w:styleId="AOEBulletedList">
    <w:name w:val="AOE Bulleted List"/>
    <w:basedOn w:val="ListParagraph"/>
    <w:link w:val="AOEBulletedListChar"/>
    <w:qFormat/>
    <w:rsid w:val="008A0832"/>
    <w:pPr>
      <w:numPr>
        <w:numId w:val="9"/>
      </w:numPr>
      <w:spacing w:line="252" w:lineRule="auto"/>
    </w:pPr>
    <w:rPr>
      <w:rFonts w:ascii="Palatino Linotype" w:hAnsi="Palatino Linotype"/>
    </w:rPr>
  </w:style>
  <w:style w:type="character" w:customStyle="1" w:styleId="ListParagraphChar">
    <w:name w:val="List Paragraph Char"/>
    <w:basedOn w:val="DefaultParagraphFont"/>
    <w:link w:val="ListParagraph"/>
    <w:uiPriority w:val="34"/>
    <w:rsid w:val="00B04C63"/>
    <w:rPr>
      <w:rFonts w:eastAsiaTheme="minorEastAsia" w:cs="Calibri"/>
      <w:bCs/>
    </w:rPr>
  </w:style>
  <w:style w:type="character" w:customStyle="1" w:styleId="AOEBulletedListChar">
    <w:name w:val="AOE Bulleted List Char"/>
    <w:basedOn w:val="ListParagraphChar"/>
    <w:link w:val="AOEBulletedList"/>
    <w:rsid w:val="008A0832"/>
    <w:rPr>
      <w:rFonts w:ascii="Palatino Linotype" w:eastAsiaTheme="minorEastAsia" w:hAnsi="Palatino Linotype" w:cs="Calibri"/>
      <w:bCs/>
    </w:rPr>
  </w:style>
  <w:style w:type="paragraph" w:customStyle="1" w:styleId="AOENumberedList">
    <w:name w:val="AOE Numbered List"/>
    <w:basedOn w:val="AOEBulletedList"/>
    <w:link w:val="AOENumberedListChar"/>
    <w:qFormat/>
    <w:rsid w:val="008A0832"/>
    <w:pPr>
      <w:numPr>
        <w:numId w:val="0"/>
      </w:numPr>
      <w:tabs>
        <w:tab w:val="num" w:pos="720"/>
      </w:tabs>
      <w:ind w:left="720" w:hanging="720"/>
    </w:pPr>
  </w:style>
  <w:style w:type="character" w:customStyle="1" w:styleId="AOENumberedListChar">
    <w:name w:val="AOE Numbered List Char"/>
    <w:basedOn w:val="AOEBulletedListChar"/>
    <w:link w:val="AOENumberedList"/>
    <w:rsid w:val="008A0832"/>
    <w:rPr>
      <w:rFonts w:ascii="Palatino Linotype" w:eastAsiaTheme="minorEastAsia" w:hAnsi="Palatino Linotype" w:cs="Calibri"/>
      <w:bCs w:val="0"/>
    </w:rPr>
  </w:style>
  <w:style w:type="character" w:customStyle="1" w:styleId="UnresolvedMention1">
    <w:name w:val="Unresolved Mention1"/>
    <w:basedOn w:val="DefaultParagraphFont"/>
    <w:uiPriority w:val="99"/>
    <w:semiHidden/>
    <w:unhideWhenUsed/>
    <w:rsid w:val="004D1880"/>
    <w:rPr>
      <w:color w:val="605E5C"/>
      <w:shd w:val="clear" w:color="auto" w:fill="E1DFDD"/>
    </w:rPr>
  </w:style>
  <w:style w:type="paragraph" w:styleId="BodyText">
    <w:name w:val="Body Text"/>
    <w:basedOn w:val="Normal"/>
    <w:link w:val="BodyTextChar"/>
    <w:uiPriority w:val="1"/>
    <w:qFormat/>
    <w:rsid w:val="00147A67"/>
    <w:rPr>
      <w:rFonts w:ascii="Times New Roman" w:hAnsi="Times New Roman" w:cs="Times New Roman"/>
      <w:b/>
      <w:sz w:val="24"/>
      <w:szCs w:val="24"/>
    </w:rPr>
  </w:style>
  <w:style w:type="character" w:customStyle="1" w:styleId="BodyTextChar">
    <w:name w:val="Body Text Char"/>
    <w:basedOn w:val="DefaultParagraphFont"/>
    <w:link w:val="BodyText"/>
    <w:rsid w:val="00147A67"/>
    <w:rPr>
      <w:rFonts w:ascii="Times New Roman" w:eastAsia="Times New Roman" w:hAnsi="Times New Roman" w:cs="Times New Roman"/>
      <w:b/>
      <w:bCs/>
      <w:sz w:val="24"/>
      <w:szCs w:val="24"/>
    </w:rPr>
  </w:style>
  <w:style w:type="paragraph" w:customStyle="1" w:styleId="TableParagraph">
    <w:name w:val="Table Paragraph"/>
    <w:basedOn w:val="Normal"/>
    <w:uiPriority w:val="1"/>
    <w:qFormat/>
    <w:rsid w:val="00781940"/>
    <w:pPr>
      <w:ind w:left="103"/>
    </w:pPr>
  </w:style>
  <w:style w:type="character" w:styleId="CommentReference">
    <w:name w:val="annotation reference"/>
    <w:basedOn w:val="DefaultParagraphFont"/>
    <w:uiPriority w:val="99"/>
    <w:semiHidden/>
    <w:unhideWhenUsed/>
    <w:rsid w:val="00781940"/>
    <w:rPr>
      <w:sz w:val="16"/>
      <w:szCs w:val="16"/>
    </w:rPr>
  </w:style>
  <w:style w:type="paragraph" w:styleId="CommentText">
    <w:name w:val="annotation text"/>
    <w:basedOn w:val="Normal"/>
    <w:link w:val="CommentTextChar"/>
    <w:uiPriority w:val="99"/>
    <w:unhideWhenUsed/>
    <w:rsid w:val="00781940"/>
    <w:rPr>
      <w:sz w:val="20"/>
      <w:szCs w:val="20"/>
    </w:rPr>
  </w:style>
  <w:style w:type="character" w:customStyle="1" w:styleId="CommentTextChar">
    <w:name w:val="Comment Text Char"/>
    <w:basedOn w:val="DefaultParagraphFont"/>
    <w:link w:val="CommentText"/>
    <w:uiPriority w:val="99"/>
    <w:rsid w:val="00781940"/>
    <w:rPr>
      <w:rFonts w:ascii="Palatino Linotype" w:eastAsia="Palatino Linotype" w:hAnsi="Palatino Linotype" w:cs="Palatino Linotype"/>
      <w:sz w:val="20"/>
      <w:szCs w:val="20"/>
    </w:rPr>
  </w:style>
  <w:style w:type="paragraph" w:styleId="NoSpacing">
    <w:name w:val="No Spacing"/>
    <w:uiPriority w:val="1"/>
    <w:rsid w:val="006409E1"/>
    <w:pPr>
      <w:autoSpaceDE w:val="0"/>
      <w:autoSpaceDN w:val="0"/>
    </w:pPr>
  </w:style>
  <w:style w:type="character" w:styleId="Emphasis">
    <w:name w:val="Emphasis"/>
    <w:basedOn w:val="DefaultParagraphFont"/>
    <w:uiPriority w:val="20"/>
    <w:rsid w:val="006409E1"/>
    <w:rPr>
      <w:i/>
      <w:iCs/>
    </w:rPr>
  </w:style>
  <w:style w:type="paragraph" w:styleId="CommentSubject">
    <w:name w:val="annotation subject"/>
    <w:basedOn w:val="CommentText"/>
    <w:next w:val="CommentText"/>
    <w:link w:val="CommentSubjectChar"/>
    <w:uiPriority w:val="99"/>
    <w:semiHidden/>
    <w:unhideWhenUsed/>
    <w:rsid w:val="00C950C5"/>
    <w:rPr>
      <w:b/>
      <w:bCs/>
    </w:rPr>
  </w:style>
  <w:style w:type="character" w:customStyle="1" w:styleId="CommentSubjectChar">
    <w:name w:val="Comment Subject Char"/>
    <w:basedOn w:val="CommentTextChar"/>
    <w:link w:val="CommentSubject"/>
    <w:uiPriority w:val="99"/>
    <w:semiHidden/>
    <w:rsid w:val="00C950C5"/>
    <w:rPr>
      <w:rFonts w:ascii="Palatino Linotype" w:eastAsia="Palatino Linotype" w:hAnsi="Palatino Linotype" w:cs="Palatino Linotype"/>
      <w:b/>
      <w:bCs/>
      <w:sz w:val="20"/>
      <w:szCs w:val="20"/>
    </w:rPr>
  </w:style>
  <w:style w:type="paragraph" w:styleId="Revision">
    <w:name w:val="Revision"/>
    <w:hidden/>
    <w:uiPriority w:val="99"/>
    <w:semiHidden/>
    <w:rsid w:val="00B14E16"/>
  </w:style>
  <w:style w:type="paragraph" w:styleId="NormalWeb">
    <w:name w:val="Normal (Web)"/>
    <w:basedOn w:val="Normal"/>
    <w:uiPriority w:val="99"/>
    <w:semiHidden/>
    <w:unhideWhenUsed/>
    <w:rsid w:val="0015303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29" w:type="dxa"/>
        <w:left w:w="115" w:type="dxa"/>
        <w:right w:w="115" w:type="dxa"/>
      </w:tblCellMar>
    </w:tblPr>
  </w:style>
  <w:style w:type="table" w:customStyle="1" w:styleId="a5">
    <w:basedOn w:val="TableNormal"/>
    <w:tblPr>
      <w:tblStyleRowBandSize w:val="1"/>
      <w:tblStyleColBandSize w:val="1"/>
      <w:tblCellMar>
        <w:top w:w="29" w:type="dxa"/>
        <w:left w:w="115" w:type="dxa"/>
        <w:right w:w="115" w:type="dxa"/>
      </w:tblCellMar>
    </w:tblPr>
  </w:style>
  <w:style w:type="table" w:customStyle="1" w:styleId="a6">
    <w:basedOn w:val="TableNormal"/>
    <w:tblPr>
      <w:tblStyleRowBandSize w:val="1"/>
      <w:tblStyleColBandSize w:val="1"/>
      <w:tblCellMar>
        <w:top w:w="29" w:type="dxa"/>
        <w:left w:w="115" w:type="dxa"/>
        <w:right w:w="115" w:type="dxa"/>
      </w:tblCellMar>
    </w:tblPr>
  </w:style>
  <w:style w:type="table" w:customStyle="1" w:styleId="a7">
    <w:basedOn w:val="TableNormal"/>
    <w:tblPr>
      <w:tblStyleRowBandSize w:val="1"/>
      <w:tblStyleColBandSize w:val="1"/>
      <w:tblCellMar>
        <w:top w:w="29" w:type="dxa"/>
        <w:left w:w="115" w:type="dxa"/>
        <w:right w:w="115" w:type="dxa"/>
      </w:tblCellMar>
    </w:tblPr>
  </w:style>
  <w:style w:type="table" w:customStyle="1" w:styleId="a8">
    <w:basedOn w:val="TableNormal"/>
    <w:tblPr>
      <w:tblStyleRowBandSize w:val="1"/>
      <w:tblStyleColBandSize w:val="1"/>
      <w:tblCellMar>
        <w:top w:w="29" w:type="dxa"/>
        <w:left w:w="115" w:type="dxa"/>
        <w:right w:w="115" w:type="dxa"/>
      </w:tblCellMar>
    </w:tblPr>
  </w:style>
  <w:style w:type="table" w:customStyle="1" w:styleId="a9">
    <w:basedOn w:val="TableNormal"/>
    <w:tblPr>
      <w:tblStyleRowBandSize w:val="1"/>
      <w:tblStyleColBandSize w:val="1"/>
      <w:tblCellMar>
        <w:top w:w="29" w:type="dxa"/>
        <w:left w:w="115" w:type="dxa"/>
        <w:right w:w="115" w:type="dxa"/>
      </w:tblCellMar>
    </w:tblPr>
  </w:style>
  <w:style w:type="table" w:customStyle="1" w:styleId="aa">
    <w:basedOn w:val="TableNormal"/>
    <w:tblPr>
      <w:tblStyleRowBandSize w:val="1"/>
      <w:tblStyleColBandSize w:val="1"/>
      <w:tblCellMar>
        <w:top w:w="29" w:type="dxa"/>
        <w:left w:w="115" w:type="dxa"/>
        <w:right w:w="115" w:type="dxa"/>
      </w:tblCellMar>
    </w:tblPr>
  </w:style>
  <w:style w:type="table" w:customStyle="1" w:styleId="ab">
    <w:basedOn w:val="TableNormal"/>
    <w:tblPr>
      <w:tblStyleRowBandSize w:val="1"/>
      <w:tblStyleColBandSize w:val="1"/>
      <w:tblCellMar>
        <w:top w:w="29" w:type="dxa"/>
        <w:left w:w="115" w:type="dxa"/>
        <w:right w:w="115" w:type="dxa"/>
      </w:tblCellMar>
    </w:tblPr>
  </w:style>
  <w:style w:type="table" w:customStyle="1" w:styleId="ac">
    <w:basedOn w:val="TableNormal"/>
    <w:tblPr>
      <w:tblStyleRowBandSize w:val="1"/>
      <w:tblStyleColBandSize w:val="1"/>
      <w:tblCellMar>
        <w:top w:w="29" w:type="dxa"/>
        <w:left w:w="115" w:type="dxa"/>
        <w:right w:w="115" w:type="dxa"/>
      </w:tblCellMar>
    </w:tblPr>
  </w:style>
  <w:style w:type="table" w:customStyle="1" w:styleId="ad">
    <w:basedOn w:val="TableNormal"/>
    <w:tblPr>
      <w:tblStyleRowBandSize w:val="1"/>
      <w:tblStyleColBandSize w:val="1"/>
      <w:tblCellMar>
        <w:top w:w="29" w:type="dxa"/>
        <w:left w:w="115" w:type="dxa"/>
        <w:right w:w="115" w:type="dxa"/>
      </w:tblCellMar>
    </w:tblPr>
  </w:style>
  <w:style w:type="table" w:customStyle="1" w:styleId="ae">
    <w:basedOn w:val="TableNormal"/>
    <w:tblPr>
      <w:tblStyleRowBandSize w:val="1"/>
      <w:tblStyleColBandSize w:val="1"/>
      <w:tblCellMar>
        <w:top w:w="29" w:type="dxa"/>
        <w:left w:w="115" w:type="dxa"/>
        <w:right w:w="115" w:type="dxa"/>
      </w:tblCellMar>
    </w:tblPr>
  </w:style>
  <w:style w:type="table" w:customStyle="1" w:styleId="af">
    <w:basedOn w:val="TableNormal"/>
    <w:tblPr>
      <w:tblStyleRowBandSize w:val="1"/>
      <w:tblStyleColBandSize w:val="1"/>
      <w:tblCellMar>
        <w:top w:w="29" w:type="dxa"/>
        <w:left w:w="115" w:type="dxa"/>
        <w:right w:w="115" w:type="dxa"/>
      </w:tblCellMar>
    </w:tblPr>
  </w:style>
  <w:style w:type="table" w:customStyle="1" w:styleId="af0">
    <w:basedOn w:val="TableNormal"/>
    <w:tblPr>
      <w:tblStyleRowBandSize w:val="1"/>
      <w:tblStyleColBandSize w:val="1"/>
      <w:tblCellMar>
        <w:top w:w="29" w:type="dxa"/>
        <w:left w:w="115" w:type="dxa"/>
        <w:right w:w="115" w:type="dxa"/>
      </w:tblCellMar>
    </w:tblPr>
  </w:style>
  <w:style w:type="table" w:customStyle="1" w:styleId="af1">
    <w:basedOn w:val="TableNormal"/>
    <w:tblPr>
      <w:tblStyleRowBandSize w:val="1"/>
      <w:tblStyleColBandSize w:val="1"/>
      <w:tblCellMar>
        <w:top w:w="29" w:type="dxa"/>
        <w:left w:w="115" w:type="dxa"/>
        <w:right w:w="115" w:type="dxa"/>
      </w:tblCellMar>
    </w:tblPr>
  </w:style>
  <w:style w:type="table" w:customStyle="1" w:styleId="af2">
    <w:basedOn w:val="TableNormal"/>
    <w:tblPr>
      <w:tblStyleRowBandSize w:val="1"/>
      <w:tblStyleColBandSize w:val="1"/>
      <w:tblCellMar>
        <w:top w:w="29" w:type="dxa"/>
        <w:left w:w="115" w:type="dxa"/>
        <w:right w:w="115" w:type="dxa"/>
      </w:tblCellMar>
    </w:tblPr>
  </w:style>
  <w:style w:type="table" w:customStyle="1" w:styleId="af3">
    <w:basedOn w:val="TableNormal"/>
    <w:tblPr>
      <w:tblStyleRowBandSize w:val="1"/>
      <w:tblStyleColBandSize w:val="1"/>
      <w:tblCellMar>
        <w:top w:w="29" w:type="dxa"/>
        <w:left w:w="115" w:type="dxa"/>
        <w:right w:w="115" w:type="dxa"/>
      </w:tblCellMar>
    </w:tblPr>
  </w:style>
  <w:style w:type="table" w:customStyle="1" w:styleId="af4">
    <w:basedOn w:val="TableNormal"/>
    <w:tblPr>
      <w:tblStyleRowBandSize w:val="1"/>
      <w:tblStyleColBandSize w:val="1"/>
      <w:tblCellMar>
        <w:top w:w="29" w:type="dxa"/>
        <w:left w:w="115" w:type="dxa"/>
        <w:right w:w="115" w:type="dxa"/>
      </w:tblCellMar>
    </w:tblPr>
  </w:style>
  <w:style w:type="table" w:customStyle="1" w:styleId="af5">
    <w:basedOn w:val="TableNormal"/>
    <w:tblPr>
      <w:tblStyleRowBandSize w:val="1"/>
      <w:tblStyleColBandSize w:val="1"/>
      <w:tblCellMar>
        <w:top w:w="29" w:type="dxa"/>
        <w:left w:w="115" w:type="dxa"/>
        <w:right w:w="115" w:type="dxa"/>
      </w:tblCellMar>
    </w:tblPr>
  </w:style>
  <w:style w:type="table" w:customStyle="1" w:styleId="af6">
    <w:basedOn w:val="TableNormal"/>
    <w:tblPr>
      <w:tblStyleRowBandSize w:val="1"/>
      <w:tblStyleColBandSize w:val="1"/>
      <w:tblCellMar>
        <w:top w:w="29" w:type="dxa"/>
        <w:left w:w="115" w:type="dxa"/>
        <w:right w:w="115" w:type="dxa"/>
      </w:tblCellMar>
    </w:tblPr>
  </w:style>
  <w:style w:type="table" w:customStyle="1" w:styleId="af7">
    <w:basedOn w:val="TableNormal"/>
    <w:tblPr>
      <w:tblStyleRowBandSize w:val="1"/>
      <w:tblStyleColBandSize w:val="1"/>
      <w:tblCellMar>
        <w:top w:w="29" w:type="dxa"/>
        <w:left w:w="115" w:type="dxa"/>
        <w:right w:w="115" w:type="dxa"/>
      </w:tblCellMar>
    </w:tblPr>
  </w:style>
  <w:style w:type="table" w:customStyle="1" w:styleId="af8">
    <w:basedOn w:val="TableNormal"/>
    <w:tblPr>
      <w:tblStyleRowBandSize w:val="1"/>
      <w:tblStyleColBandSize w:val="1"/>
      <w:tblCellMar>
        <w:top w:w="29" w:type="dxa"/>
        <w:left w:w="115" w:type="dxa"/>
        <w:right w:w="115" w:type="dxa"/>
      </w:tblCellMar>
    </w:tblPr>
  </w:style>
  <w:style w:type="table" w:customStyle="1" w:styleId="af9">
    <w:basedOn w:val="TableNormal"/>
    <w:tblPr>
      <w:tblStyleRowBandSize w:val="1"/>
      <w:tblStyleColBandSize w:val="1"/>
      <w:tblCellMar>
        <w:top w:w="29" w:type="dxa"/>
        <w:left w:w="115" w:type="dxa"/>
        <w:right w:w="115" w:type="dxa"/>
      </w:tblCellMar>
    </w:tblPr>
  </w:style>
  <w:style w:type="table" w:customStyle="1" w:styleId="afa">
    <w:basedOn w:val="TableNormal"/>
    <w:tblPr>
      <w:tblStyleRowBandSize w:val="1"/>
      <w:tblStyleColBandSize w:val="1"/>
      <w:tblCellMar>
        <w:top w:w="29" w:type="dxa"/>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ducation.vermont.gov/documents/edu-comprehensive-needs-assessment-toolk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vermont.gov/student-support/vermont-multi-tiered-system-of-supports/vtmtss-framework-too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ducation.vermont.gov/documents/education-quality-and-continuous-improvement-framework" TargetMode="External"/><Relationship Id="rId4" Type="http://schemas.openxmlformats.org/officeDocument/2006/relationships/settings" Target="settings.xml"/><Relationship Id="rId9" Type="http://schemas.openxmlformats.org/officeDocument/2006/relationships/hyperlink" Target="https://education.vermont.gov/documents/edu-cfp-data-inventory-templat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rx/Fsd98a+mYoDPC4iXqFR/1TA==">CgMxLjAyCGguZ2pkZ3hzMgloLjFmb2I5dGUyCWguM3pueXNoNzIJaC4yZXQ5MnAwMghoLnR5amN3dDIJaC4zZHk2dmttOAByITE2VDk3a2F6V2VGMnQyTFBKVVNCYURMYmJCeHpyQk9TWA==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1298</Words>
  <Characters>7402</Characters>
  <Application>Microsoft Office Word</Application>
  <DocSecurity>0</DocSecurity>
  <Lines>61</Lines>
  <Paragraphs>17</Paragraphs>
  <ScaleCrop>false</ScaleCrop>
  <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Vermont Agency of Education</dc:creator>
  <cp:lastModifiedBy>Katie Bryant</cp:lastModifiedBy>
  <cp:revision>1</cp:revision>
  <dcterms:created xsi:type="dcterms:W3CDTF">2022-06-23T19:45:00Z</dcterms:created>
  <dcterms:modified xsi:type="dcterms:W3CDTF">2025-04-08T18:46:00Z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0x010100FFD5CA2A6723CC46B8384596C245D0B8</vt:lpwstr>
  </property>
</Properties>
</file>