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045DA" w14:textId="381257DD" w:rsidR="00FF4B40" w:rsidRDefault="00A07A2E">
      <w:pPr>
        <w:pStyle w:val="Title"/>
      </w:pPr>
      <w:proofErr w:type="spellStart"/>
      <w:r>
        <w:t>佛蒙特州持续改进计划</w:t>
      </w:r>
      <w:proofErr w:type="spellEnd"/>
    </w:p>
    <w:p w14:paraId="1724B402" w14:textId="77777777" w:rsidR="00FF4B40" w:rsidRDefault="00A07A2E">
      <w:pPr>
        <w:pStyle w:val="Heading1"/>
      </w:pPr>
      <w:r>
        <w:t>LEA: Johnson Elementary School Elementary School</w:t>
      </w:r>
    </w:p>
    <w:p w14:paraId="761A7535" w14:textId="77777777" w:rsidR="00FF4B40" w:rsidRDefault="00A07A2E">
      <w:r>
        <w:t>LEA 持续改进计划联系人：David Manning ， 2024-2026</w:t>
      </w:r>
    </w:p>
    <w:p w14:paraId="700F7334" w14:textId="77777777" w:rsidR="00FF4B40" w:rsidRDefault="00FF4B40"/>
    <w:p w14:paraId="1BC382F6" w14:textId="77777777" w:rsidR="00FF4B40" w:rsidRDefault="00A07A2E">
      <w:pPr>
        <w:rPr>
          <w:rFonts w:ascii="Libre Franklin" w:eastAsia="Libre Franklin" w:hAnsi="Libre Franklin" w:cs="Libre Franklin"/>
          <w:sz w:val="28"/>
          <w:szCs w:val="28"/>
        </w:rPr>
      </w:pPr>
      <w:r>
        <w:rPr>
          <w:rFonts w:ascii="Libre Franklin" w:eastAsia="Libre Franklin" w:hAnsi="Libre Franklin" w:cs="Libre Franklin"/>
          <w:sz w:val="28"/>
          <w:szCs w:val="28"/>
        </w:rPr>
        <w:t>LEA 持续改进计划联系电子邮件：dmanning@jesvt.org</w:t>
      </w:r>
    </w:p>
    <w:p w14:paraId="3683CE97" w14:textId="77777777" w:rsidR="00FF4B40" w:rsidRDefault="00FF4B40"/>
    <w:p w14:paraId="79994BAC" w14:textId="77777777" w:rsidR="00FF4B40" w:rsidRDefault="00A07A2E">
      <w:pPr>
        <w:pBdr>
          <w:top w:val="nil"/>
          <w:left w:val="nil"/>
          <w:bottom w:val="nil"/>
          <w:right w:val="nil"/>
          <w:between w:val="nil"/>
        </w:pBdr>
        <w:jc w:val="both"/>
        <w:rPr>
          <w:i/>
        </w:rPr>
      </w:pPr>
      <w:r>
        <w:rPr>
          <w:rFonts w:ascii="Libre Franklin" w:eastAsia="Libre Franklin" w:hAnsi="Libre Franklin" w:cs="Libre Franklin"/>
          <w:color w:val="000000"/>
          <w:sz w:val="28"/>
          <w:szCs w:val="28"/>
        </w:rPr>
        <w:t xml:space="preserve">代表的协作利益相关者： </w:t>
      </w:r>
      <w:r>
        <w:rPr>
          <w:color w:val="000000"/>
        </w:rPr>
        <w:t xml:space="preserve">列出参与制定持续改进计划的代表性利益相关者的姓名和角色（例如，学校董事会成员、学生、家长、教师、管理人员、CTE 合作伙伴、心理健康机构代表和其他社区成员）。努力确保不同的声音成为规划过程的一部分。 </w:t>
      </w:r>
    </w:p>
    <w:p w14:paraId="08F8F701" w14:textId="77777777" w:rsidR="00FF4B40" w:rsidRDefault="00FF4B40">
      <w:pPr>
        <w:pBdr>
          <w:top w:val="nil"/>
          <w:left w:val="nil"/>
          <w:bottom w:val="nil"/>
          <w:right w:val="nil"/>
          <w:between w:val="nil"/>
        </w:pBdr>
        <w:jc w:val="both"/>
        <w:rPr>
          <w:i/>
          <w:color w:val="000000"/>
        </w:rPr>
      </w:pPr>
    </w:p>
    <w:p w14:paraId="52289C08" w14:textId="77777777" w:rsidR="00FF4B40" w:rsidRDefault="00FF4B40">
      <w:pPr>
        <w:pBdr>
          <w:top w:val="nil"/>
          <w:left w:val="nil"/>
          <w:bottom w:val="nil"/>
          <w:right w:val="nil"/>
          <w:between w:val="nil"/>
        </w:pBdr>
        <w:jc w:val="both"/>
        <w:rPr>
          <w:color w:val="000000"/>
        </w:rPr>
      </w:pPr>
    </w:p>
    <w:p w14:paraId="7AF6C15C" w14:textId="77777777" w:rsidR="00FF4B40" w:rsidRDefault="00A07A2E">
      <w:r>
        <w:t xml:space="preserve">2024 年 3 月 28 日，所有员工都有机会审查本文件。 许多团队为计划提供了意见，以支持目标，并通过团队完成的数据清单工作提出更改建议。  </w:t>
      </w:r>
      <w:r>
        <w:br w:type="page"/>
      </w:r>
    </w:p>
    <w:p w14:paraId="6764DA2F" w14:textId="77777777" w:rsidR="00FF4B40" w:rsidRDefault="00A07A2E">
      <w:pPr>
        <w:pStyle w:val="Heading1"/>
      </w:pPr>
      <w:r>
        <w:lastRenderedPageBreak/>
        <w:t>持续改进计划制定</w:t>
      </w:r>
      <w:r>
        <w:t xml:space="preserve"> </w:t>
      </w:r>
    </w:p>
    <w:p w14:paraId="23132F58" w14:textId="77777777" w:rsidR="00FF4B40" w:rsidRDefault="00A07A2E">
      <w:pPr>
        <w:numPr>
          <w:ilvl w:val="0"/>
          <w:numId w:val="2"/>
        </w:numPr>
        <w:pBdr>
          <w:top w:val="nil"/>
          <w:left w:val="nil"/>
          <w:bottom w:val="nil"/>
          <w:right w:val="nil"/>
          <w:between w:val="nil"/>
        </w:pBdr>
        <w:spacing w:line="252" w:lineRule="auto"/>
        <w:rPr>
          <w:color w:val="000000"/>
        </w:rPr>
      </w:pPr>
      <w:r>
        <w:rPr>
          <w:color w:val="000000"/>
        </w:rPr>
        <w:t>根据您的综合需求评估</w:t>
      </w:r>
      <w:hyperlink r:id="rId8">
        <w:r>
          <w:rPr>
            <w:color w:val="0000FF"/>
            <w:u w:val="single"/>
          </w:rPr>
          <w:t>和数据</w:t>
        </w:r>
      </w:hyperlink>
      <w:r>
        <w:rPr>
          <w:color w:val="0000FF"/>
          <w:u w:val="single"/>
        </w:rPr>
        <w:t xml:space="preserve"> </w:t>
      </w:r>
      <w:r>
        <w:rPr>
          <w:color w:val="000000"/>
        </w:rPr>
        <w:t>清单</w:t>
      </w:r>
      <w:hyperlink r:id="rId9">
        <w:r>
          <w:rPr>
            <w:color w:val="0000FF"/>
            <w:u w:val="single"/>
          </w:rPr>
          <w:t xml:space="preserve">列出您的优先目标、战略、措施和资源，以支持实施 </w:t>
        </w:r>
      </w:hyperlink>
    </w:p>
    <w:p w14:paraId="320BF685" w14:textId="77777777" w:rsidR="00FF4B40" w:rsidRDefault="00A07A2E">
      <w:pPr>
        <w:numPr>
          <w:ilvl w:val="0"/>
          <w:numId w:val="2"/>
        </w:numPr>
        <w:pBdr>
          <w:top w:val="nil"/>
          <w:left w:val="nil"/>
          <w:bottom w:val="nil"/>
          <w:right w:val="nil"/>
          <w:between w:val="nil"/>
        </w:pBdr>
        <w:spacing w:line="252" w:lineRule="auto"/>
      </w:pPr>
      <w:r>
        <w:rPr>
          <w:color w:val="000000"/>
        </w:rPr>
        <w:t xml:space="preserve">您必须至少有一个安全与健康的学校目标和一个学术成就目标。您可以确定其他目标，但最佳做法是将 CIP 目标限制为可管理的数量，以便实施和衡量。 </w:t>
      </w:r>
    </w:p>
    <w:p w14:paraId="0FFD24F6" w14:textId="77777777" w:rsidR="00FF4B40" w:rsidRDefault="00A07A2E">
      <w:pPr>
        <w:numPr>
          <w:ilvl w:val="0"/>
          <w:numId w:val="2"/>
        </w:numPr>
        <w:pBdr>
          <w:top w:val="nil"/>
          <w:left w:val="nil"/>
          <w:bottom w:val="nil"/>
          <w:right w:val="nil"/>
          <w:between w:val="nil"/>
        </w:pBdr>
        <w:spacing w:after="200" w:line="252" w:lineRule="auto"/>
      </w:pPr>
      <w:bookmarkStart w:id="0" w:name="_heading=h.gjdgxs" w:colFirst="0" w:colLast="0"/>
      <w:bookmarkEnd w:id="0"/>
      <w:proofErr w:type="spellStart"/>
      <w:r>
        <w:rPr>
          <w:color w:val="000000"/>
        </w:rPr>
        <w:t>来自综合学校改进工具包</w:t>
      </w:r>
      <w:hyperlink r:id="rId10">
        <w:r>
          <w:rPr>
            <w:color w:val="0000FF"/>
            <w:u w:val="single"/>
          </w:rPr>
          <w:t>和</w:t>
        </w:r>
        <w:proofErr w:type="spellEnd"/>
        <w:r>
          <w:rPr>
            <w:color w:val="0000FF"/>
            <w:u w:val="single"/>
          </w:rPr>
          <w:t xml:space="preserve"> </w:t>
        </w:r>
      </w:hyperlink>
      <w:proofErr w:type="spellStart"/>
      <w:r>
        <w:rPr>
          <w:color w:val="000000"/>
        </w:rPr>
        <w:t>VTmtss</w:t>
      </w:r>
      <w:proofErr w:type="spellEnd"/>
      <w:r>
        <w:rPr>
          <w:color w:val="000000"/>
        </w:rPr>
        <w:t xml:space="preserve"> </w:t>
      </w:r>
      <w:proofErr w:type="spellStart"/>
      <w:r>
        <w:rPr>
          <w:color w:val="000000"/>
        </w:rPr>
        <w:t>框架工具</w:t>
      </w:r>
      <w:hyperlink r:id="rId11">
        <w:r>
          <w:rPr>
            <w:color w:val="0000FF"/>
            <w:u w:val="single"/>
          </w:rPr>
          <w:t>的分析工具</w:t>
        </w:r>
      </w:hyperlink>
      <w:r>
        <w:rPr>
          <w:color w:val="000000"/>
        </w:rPr>
        <w:t>在这项工作中可能很有用</w:t>
      </w:r>
      <w:proofErr w:type="spellEnd"/>
    </w:p>
    <w:tbl>
      <w:tblPr>
        <w:tblStyle w:val="af6"/>
        <w:tblW w:w="14385"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3300"/>
        <w:gridCol w:w="3870"/>
        <w:gridCol w:w="2970"/>
        <w:gridCol w:w="2670"/>
      </w:tblGrid>
      <w:tr w:rsidR="00FF4B40" w14:paraId="6F548FE1" w14:textId="77777777">
        <w:trPr>
          <w:tblHeader/>
        </w:trPr>
        <w:tc>
          <w:tcPr>
            <w:tcW w:w="1575" w:type="dxa"/>
            <w:tcBorders>
              <w:bottom w:val="single" w:sz="4" w:space="0" w:color="000000"/>
            </w:tcBorders>
            <w:shd w:val="clear" w:color="auto" w:fill="BFBFBF"/>
          </w:tcPr>
          <w:p w14:paraId="7D7FA045" w14:textId="77777777" w:rsidR="00FF4B40" w:rsidRDefault="00A07A2E">
            <w:pPr>
              <w:jc w:val="center"/>
              <w:rPr>
                <w:b/>
                <w:sz w:val="20"/>
                <w:szCs w:val="20"/>
              </w:rPr>
            </w:pPr>
            <w:r>
              <w:rPr>
                <w:b/>
                <w:sz w:val="20"/>
                <w:szCs w:val="20"/>
              </w:rPr>
              <w:t>必需组件</w:t>
            </w:r>
          </w:p>
        </w:tc>
        <w:tc>
          <w:tcPr>
            <w:tcW w:w="3300" w:type="dxa"/>
            <w:tcBorders>
              <w:bottom w:val="single" w:sz="4" w:space="0" w:color="000000"/>
            </w:tcBorders>
            <w:shd w:val="clear" w:color="auto" w:fill="BFBFBF"/>
            <w:vAlign w:val="center"/>
          </w:tcPr>
          <w:p w14:paraId="24346C08" w14:textId="77777777" w:rsidR="00FF4B40" w:rsidRDefault="00A07A2E">
            <w:pPr>
              <w:jc w:val="center"/>
              <w:rPr>
                <w:b/>
                <w:sz w:val="20"/>
                <w:szCs w:val="20"/>
              </w:rPr>
            </w:pPr>
            <w:r>
              <w:rPr>
                <w:b/>
                <w:sz w:val="20"/>
                <w:szCs w:val="20"/>
              </w:rPr>
              <w:t xml:space="preserve">优先 SU/SD 目标 </w:t>
            </w:r>
          </w:p>
        </w:tc>
        <w:tc>
          <w:tcPr>
            <w:tcW w:w="3870" w:type="dxa"/>
            <w:tcBorders>
              <w:bottom w:val="single" w:sz="4" w:space="0" w:color="000000"/>
            </w:tcBorders>
            <w:shd w:val="clear" w:color="auto" w:fill="BFBFBF"/>
            <w:vAlign w:val="center"/>
          </w:tcPr>
          <w:p w14:paraId="0A213737" w14:textId="77777777" w:rsidR="00FF4B40" w:rsidRDefault="00A07A2E">
            <w:pPr>
              <w:jc w:val="center"/>
              <w:rPr>
                <w:b/>
                <w:sz w:val="20"/>
                <w:szCs w:val="20"/>
              </w:rPr>
            </w:pPr>
            <w:r>
              <w:rPr>
                <w:b/>
                <w:sz w:val="20"/>
                <w:szCs w:val="20"/>
              </w:rPr>
              <w:t>优先策略/变革想法</w:t>
            </w:r>
          </w:p>
        </w:tc>
        <w:tc>
          <w:tcPr>
            <w:tcW w:w="2970" w:type="dxa"/>
            <w:tcBorders>
              <w:bottom w:val="single" w:sz="4" w:space="0" w:color="000000"/>
            </w:tcBorders>
            <w:shd w:val="clear" w:color="auto" w:fill="BFBFBF"/>
            <w:vAlign w:val="center"/>
          </w:tcPr>
          <w:p w14:paraId="374FF752" w14:textId="77777777" w:rsidR="00FF4B40" w:rsidRDefault="00A07A2E">
            <w:pPr>
              <w:jc w:val="center"/>
              <w:rPr>
                <w:b/>
                <w:sz w:val="20"/>
                <w:szCs w:val="20"/>
              </w:rPr>
            </w:pPr>
            <w:r>
              <w:rPr>
                <w:b/>
                <w:sz w:val="20"/>
                <w:szCs w:val="20"/>
              </w:rPr>
              <w:t xml:space="preserve">措施 </w:t>
            </w:r>
          </w:p>
        </w:tc>
        <w:tc>
          <w:tcPr>
            <w:tcW w:w="2670" w:type="dxa"/>
            <w:tcBorders>
              <w:bottom w:val="single" w:sz="4" w:space="0" w:color="000000"/>
            </w:tcBorders>
            <w:shd w:val="clear" w:color="auto" w:fill="BFBFBF"/>
            <w:vAlign w:val="center"/>
          </w:tcPr>
          <w:p w14:paraId="11CFE36D" w14:textId="77777777" w:rsidR="00FF4B40" w:rsidRDefault="00A07A2E">
            <w:pPr>
              <w:jc w:val="center"/>
              <w:rPr>
                <w:b/>
                <w:sz w:val="20"/>
                <w:szCs w:val="20"/>
              </w:rPr>
            </w:pPr>
            <w:r>
              <w:rPr>
                <w:b/>
                <w:sz w:val="20"/>
                <w:szCs w:val="20"/>
              </w:rPr>
              <w:t>支持实施的人力、物力和财政资源</w:t>
            </w:r>
          </w:p>
        </w:tc>
      </w:tr>
      <w:tr w:rsidR="00FF4B40" w14:paraId="7ACB1093" w14:textId="77777777">
        <w:trPr>
          <w:trHeight w:val="1151"/>
        </w:trPr>
        <w:tc>
          <w:tcPr>
            <w:tcW w:w="1575" w:type="dxa"/>
            <w:tcBorders>
              <w:top w:val="single" w:sz="4" w:space="0" w:color="000000"/>
              <w:left w:val="single" w:sz="4" w:space="0" w:color="000000"/>
              <w:bottom w:val="single" w:sz="4" w:space="0" w:color="000000"/>
              <w:right w:val="single" w:sz="4" w:space="0" w:color="000000"/>
            </w:tcBorders>
            <w:vAlign w:val="center"/>
          </w:tcPr>
          <w:p w14:paraId="1A20AF4A" w14:textId="77777777" w:rsidR="00FF4B40" w:rsidRDefault="00A07A2E">
            <w:pPr>
              <w:rPr>
                <w:b/>
                <w:sz w:val="20"/>
                <w:szCs w:val="20"/>
              </w:rPr>
            </w:pPr>
            <w:r>
              <w:rPr>
                <w:b/>
              </w:rPr>
              <w:t xml:space="preserve">安全健康的学校 </w:t>
            </w:r>
          </w:p>
        </w:tc>
        <w:tc>
          <w:tcPr>
            <w:tcW w:w="3300" w:type="dxa"/>
            <w:tcBorders>
              <w:top w:val="single" w:sz="4" w:space="0" w:color="000000"/>
              <w:left w:val="single" w:sz="4" w:space="0" w:color="000000"/>
              <w:bottom w:val="single" w:sz="4" w:space="0" w:color="000000"/>
              <w:right w:val="single" w:sz="4" w:space="0" w:color="000000"/>
            </w:tcBorders>
            <w:vAlign w:val="center"/>
          </w:tcPr>
          <w:p w14:paraId="72F169CB" w14:textId="77777777" w:rsidR="00FF4B40" w:rsidRDefault="00A07A2E">
            <w:r>
              <w:t>帮助学生和成人提高对情绪调节、创伤知情实践、文化偏见和恢复性实践的认识，这将有助于我们加强彼此之间的关系，让我们都处于教学和学习的最佳区域</w:t>
            </w:r>
          </w:p>
        </w:tc>
        <w:tc>
          <w:tcPr>
            <w:tcW w:w="3870" w:type="dxa"/>
            <w:tcBorders>
              <w:top w:val="single" w:sz="4" w:space="0" w:color="000000"/>
              <w:left w:val="single" w:sz="4" w:space="0" w:color="000000"/>
              <w:bottom w:val="single" w:sz="4" w:space="0" w:color="000000"/>
              <w:right w:val="single" w:sz="4" w:space="0" w:color="000000"/>
            </w:tcBorders>
            <w:vAlign w:val="center"/>
          </w:tcPr>
          <w:p w14:paraId="32748EA0"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我们将继续与 Lamoille 修复中心的 Mark Scott 合作，在全校范围内（教职员工和学生）发展我们的恢复实践。这项工作还将包括与教职员工和学生讨论偏见和冲突。</w:t>
            </w:r>
          </w:p>
          <w:p w14:paraId="3C906FF5"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在所有教室实施响应式课堂实践</w:t>
            </w:r>
          </w:p>
          <w:p w14:paraId="0C23F00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我们将继续使用和加强我们的 PBIS 系统，并为新员工提供培训</w:t>
            </w:r>
          </w:p>
          <w:p w14:paraId="59BD320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审查并实施学校辅导员在课堂上使用的有关反欺凌的新课程</w:t>
            </w:r>
          </w:p>
          <w:p w14:paraId="4A3655A5"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为所有学生调查并实施 SEL 筛选工具</w:t>
            </w:r>
          </w:p>
          <w:p w14:paraId="21807FD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rPr>
              <w:t>改进 MTSS 学术和行为系统，使第 1-3 层在双方之间保持一致</w:t>
            </w:r>
          </w:p>
          <w:p w14:paraId="59B65B30" w14:textId="77777777" w:rsidR="00FF4B40" w:rsidRDefault="00FF4B40"/>
        </w:tc>
        <w:tc>
          <w:tcPr>
            <w:tcW w:w="2970" w:type="dxa"/>
            <w:tcBorders>
              <w:top w:val="single" w:sz="4" w:space="0" w:color="000000"/>
              <w:left w:val="single" w:sz="4" w:space="0" w:color="000000"/>
              <w:bottom w:val="single" w:sz="4" w:space="0" w:color="000000"/>
              <w:right w:val="single" w:sz="4" w:space="0" w:color="000000"/>
            </w:tcBorders>
            <w:vAlign w:val="center"/>
          </w:tcPr>
          <w:p w14:paraId="43D51DB9"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到 2025 年 6 月，因攻击性、欺凌和扰乱课堂而获得的 Office 推荐减少 10%</w:t>
            </w:r>
          </w:p>
          <w:p w14:paraId="61E22184"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 xml:space="preserve">根据 SSC 数据和  LRC </w:t>
            </w:r>
            <w:r>
              <w:rPr>
                <w:rFonts w:ascii="Calibri" w:eastAsia="Calibri" w:hAnsi="Calibri" w:cs="Calibri"/>
              </w:rPr>
              <w:t>的衡量，到 2026 年 6 月，一个完全开发的 II 级恢复性实践系统将到位</w:t>
            </w:r>
          </w:p>
          <w:p w14:paraId="3B2CA097"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响应式课堂启发 到 2025 年 6 月，每个教室都将举行晨会</w:t>
            </w:r>
          </w:p>
          <w:p w14:paraId="3A19A051"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将建立一个严格的系统来识别需要更多 SEL 支持的学生 - 研究通用筛选器</w:t>
            </w:r>
          </w:p>
          <w:p w14:paraId="042806A4" w14:textId="77777777" w:rsidR="00FF4B40" w:rsidRDefault="00A07A2E">
            <w:pPr>
              <w:numPr>
                <w:ilvl w:val="0"/>
                <w:numId w:val="8"/>
              </w:numPr>
              <w:pBdr>
                <w:top w:val="nil"/>
                <w:left w:val="nil"/>
                <w:bottom w:val="nil"/>
                <w:right w:val="nil"/>
                <w:between w:val="nil"/>
              </w:pBdr>
              <w:ind w:left="360"/>
              <w:rPr>
                <w:rFonts w:ascii="Calibri" w:eastAsia="Calibri" w:hAnsi="Calibri" w:cs="Calibri"/>
              </w:rPr>
            </w:pPr>
            <w:r>
              <w:rPr>
                <w:rFonts w:ascii="Calibri" w:eastAsia="Calibri" w:hAnsi="Calibri" w:cs="Calibri"/>
              </w:rPr>
              <w:t>到 2025 年 6 月成功建立 CICO 系统</w:t>
            </w:r>
          </w:p>
          <w:p w14:paraId="0E93726F" w14:textId="77777777" w:rsidR="00FF4B40" w:rsidRDefault="00FF4B40"/>
        </w:tc>
        <w:tc>
          <w:tcPr>
            <w:tcW w:w="2670" w:type="dxa"/>
            <w:tcBorders>
              <w:top w:val="single" w:sz="4" w:space="0" w:color="000000"/>
              <w:left w:val="single" w:sz="4" w:space="0" w:color="000000"/>
              <w:bottom w:val="single" w:sz="4" w:space="0" w:color="000000"/>
              <w:right w:val="single" w:sz="4" w:space="0" w:color="000000"/>
            </w:tcBorders>
            <w:vAlign w:val="center"/>
          </w:tcPr>
          <w:p w14:paraId="4999D049"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第 IIA 章， </w:t>
            </w:r>
          </w:p>
          <w:p w14:paraId="2CD850B2"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标题 IVA， </w:t>
            </w:r>
          </w:p>
          <w:p w14:paraId="019C7DC8"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ESSR</w:t>
            </w:r>
          </w:p>
          <w:p w14:paraId="6B920F36"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本地预算 </w:t>
            </w:r>
          </w:p>
          <w:p w14:paraId="5D5E753D"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4 FTE 学生支持中心工作人员</w:t>
            </w:r>
          </w:p>
          <w:p w14:paraId="0BC49CAD" w14:textId="77777777" w:rsidR="00FF4B40" w:rsidRDefault="00FF4B40">
            <w:pPr>
              <w:pBdr>
                <w:top w:val="nil"/>
                <w:left w:val="nil"/>
                <w:bottom w:val="nil"/>
                <w:right w:val="nil"/>
                <w:between w:val="nil"/>
              </w:pBdr>
              <w:ind w:left="360" w:hanging="360"/>
              <w:rPr>
                <w:rFonts w:ascii="Calibri" w:eastAsia="Calibri" w:hAnsi="Calibri" w:cs="Calibri"/>
                <w:color w:val="000000"/>
              </w:rPr>
            </w:pPr>
          </w:p>
          <w:p w14:paraId="10BB4176" w14:textId="77777777" w:rsidR="00FF4B40" w:rsidRDefault="00A07A2E">
            <w:pPr>
              <w:rPr>
                <w:rFonts w:ascii="Calibri" w:eastAsia="Calibri" w:hAnsi="Calibri" w:cs="Calibri"/>
                <w:color w:val="000000"/>
              </w:rPr>
            </w:pPr>
            <w:r>
              <w:t>继续在财政上支持拥有一名来自 Laraway 的全职学校辅导员 5：1 和一名一般行为支持人员</w:t>
            </w:r>
          </w:p>
        </w:tc>
      </w:tr>
      <w:tr w:rsidR="00FF4B40" w14:paraId="3F1085BA" w14:textId="77777777">
        <w:trPr>
          <w:trHeight w:val="1097"/>
        </w:trPr>
        <w:tc>
          <w:tcPr>
            <w:tcW w:w="1575" w:type="dxa"/>
            <w:tcBorders>
              <w:top w:val="single" w:sz="4" w:space="0" w:color="000000"/>
              <w:left w:val="single" w:sz="4" w:space="0" w:color="000000"/>
              <w:bottom w:val="single" w:sz="4" w:space="0" w:color="000000"/>
              <w:right w:val="single" w:sz="4" w:space="0" w:color="000000"/>
            </w:tcBorders>
            <w:vAlign w:val="center"/>
          </w:tcPr>
          <w:p w14:paraId="5B47C6E5" w14:textId="77777777" w:rsidR="00FF4B40" w:rsidRDefault="00A07A2E">
            <w:pPr>
              <w:rPr>
                <w:b/>
              </w:rPr>
            </w:pPr>
            <w:bookmarkStart w:id="1" w:name="_heading=h.1fob9te" w:colFirst="0" w:colLast="0"/>
            <w:bookmarkEnd w:id="1"/>
            <w:r>
              <w:rPr>
                <w:b/>
              </w:rPr>
              <w:lastRenderedPageBreak/>
              <w:t>学术成就</w:t>
            </w:r>
          </w:p>
          <w:p w14:paraId="6BA623D1" w14:textId="77777777" w:rsidR="00FF4B40" w:rsidRDefault="00FF4B40"/>
        </w:tc>
        <w:tc>
          <w:tcPr>
            <w:tcW w:w="3300" w:type="dxa"/>
            <w:tcBorders>
              <w:top w:val="single" w:sz="4" w:space="0" w:color="000000"/>
              <w:left w:val="single" w:sz="4" w:space="0" w:color="000000"/>
              <w:bottom w:val="single" w:sz="4" w:space="0" w:color="000000"/>
              <w:right w:val="single" w:sz="4" w:space="0" w:color="000000"/>
            </w:tcBorders>
            <w:vAlign w:val="center"/>
          </w:tcPr>
          <w:p w14:paraId="5FB906F4" w14:textId="77777777" w:rsidR="00FF4B40" w:rsidRDefault="00A07A2E">
            <w:pPr>
              <w:widowControl/>
              <w:pBdr>
                <w:top w:val="nil"/>
                <w:left w:val="nil"/>
                <w:bottom w:val="nil"/>
                <w:right w:val="nil"/>
                <w:between w:val="nil"/>
              </w:pBdr>
              <w:spacing w:after="120"/>
              <w:ind w:left="101"/>
              <w:rPr>
                <w:rFonts w:ascii="Times New Roman" w:eastAsia="Times New Roman" w:hAnsi="Times New Roman" w:cs="Times New Roman"/>
                <w:color w:val="000000"/>
              </w:rPr>
            </w:pPr>
            <w:r>
              <w:rPr>
                <w:rFonts w:ascii="Times New Roman" w:eastAsia="Times New Roman" w:hAnsi="Times New Roman" w:cs="Times New Roman"/>
                <w:color w:val="000000"/>
              </w:rPr>
              <w:t>创建一所公平的学校，其中学生的人口统计数据（学生或学生家庭成员的实际或感知的种族、信仰、肤色、国籍、婚姻状况、残疾、性别、性取向、性别认同或经济状况）不会预测他们的表现。 对于学术能力的重点领域，我们希望：</w:t>
            </w:r>
          </w:p>
          <w:p w14:paraId="584CAC69" w14:textId="77777777" w:rsidR="00FF4B40" w:rsidRDefault="00A07A2E">
            <w:pPr>
              <w:widowControl/>
              <w:numPr>
                <w:ilvl w:val="0"/>
                <w:numId w:val="4"/>
              </w:numPr>
              <w:pBdr>
                <w:top w:val="nil"/>
                <w:left w:val="nil"/>
                <w:bottom w:val="nil"/>
                <w:right w:val="nil"/>
                <w:between w:val="nil"/>
              </w:pBdr>
              <w:spacing w:after="120"/>
              <w:ind w:left="436" w:hanging="270"/>
              <w:rPr>
                <w:rFonts w:ascii="Noto Sans Symbols" w:eastAsia="Noto Sans Symbols" w:hAnsi="Noto Sans Symbols" w:cs="Noto Sans Symbols"/>
                <w:color w:val="000000"/>
              </w:rPr>
            </w:pPr>
            <w:r>
              <w:rPr>
                <w:rFonts w:ascii="Times New Roman" w:eastAsia="Times New Roman" w:hAnsi="Times New Roman" w:cs="Times New Roman"/>
                <w:color w:val="000000"/>
              </w:rPr>
              <w:t xml:space="preserve">到 10 年将核心教学成功的学生比例提高 2025%。 </w:t>
            </w:r>
          </w:p>
          <w:p w14:paraId="107F15F5" w14:textId="77777777" w:rsidR="00FF4B40" w:rsidRDefault="00A07A2E">
            <w:pPr>
              <w:widowControl/>
              <w:numPr>
                <w:ilvl w:val="0"/>
                <w:numId w:val="4"/>
              </w:numPr>
              <w:pBdr>
                <w:top w:val="nil"/>
                <w:left w:val="nil"/>
                <w:bottom w:val="nil"/>
                <w:right w:val="nil"/>
                <w:between w:val="nil"/>
              </w:pBdr>
              <w:spacing w:after="120"/>
              <w:ind w:left="436" w:hanging="270"/>
              <w:rPr>
                <w:rFonts w:ascii="Noto Sans Symbols" w:eastAsia="Noto Sans Symbols" w:hAnsi="Noto Sans Symbols" w:cs="Noto Sans Symbols"/>
                <w:color w:val="000000"/>
              </w:rPr>
            </w:pPr>
            <w:r>
              <w:rPr>
                <w:rFonts w:ascii="Times New Roman" w:eastAsia="Times New Roman" w:hAnsi="Times New Roman" w:cs="Times New Roman"/>
                <w:color w:val="000000"/>
              </w:rPr>
              <w:t>我们将更加系统地相互依存地工作，以提高我们的个人和集体能力，以满足在第一梯队中挣扎的学生的需求。 我们相信，实现这一目标将导致更高比例的学生在其年级通过 SBAC 以及 Fountas 和 Pinnell 评估。</w:t>
            </w:r>
          </w:p>
          <w:p w14:paraId="767A1B5D" w14:textId="77777777" w:rsidR="00FF4B40" w:rsidRDefault="00FF4B40">
            <w:pPr>
              <w:rPr>
                <w:b/>
              </w:rPr>
            </w:pPr>
          </w:p>
        </w:tc>
        <w:tc>
          <w:tcPr>
            <w:tcW w:w="3870" w:type="dxa"/>
            <w:tcBorders>
              <w:top w:val="single" w:sz="4" w:space="0" w:color="000000"/>
              <w:left w:val="single" w:sz="4" w:space="0" w:color="000000"/>
              <w:bottom w:val="single" w:sz="4" w:space="0" w:color="000000"/>
              <w:right w:val="single" w:sz="4" w:space="0" w:color="000000"/>
            </w:tcBorders>
            <w:vAlign w:val="center"/>
          </w:tcPr>
          <w:p w14:paraId="4578A3F0" w14:textId="77777777" w:rsidR="00FF4B40" w:rsidRDefault="00FF4B40">
            <w:pPr>
              <w:pBdr>
                <w:top w:val="nil"/>
                <w:left w:val="nil"/>
                <w:bottom w:val="nil"/>
                <w:right w:val="nil"/>
                <w:between w:val="nil"/>
              </w:pBdr>
              <w:ind w:left="720"/>
              <w:rPr>
                <w:rFonts w:ascii="Calibri" w:eastAsia="Calibri" w:hAnsi="Calibri" w:cs="Calibri"/>
                <w:b/>
                <w:color w:val="000000"/>
              </w:rPr>
            </w:pPr>
          </w:p>
          <w:p w14:paraId="40361045" w14:textId="77777777" w:rsidR="00FF4B40" w:rsidRDefault="00FF4B40">
            <w:pPr>
              <w:pBdr>
                <w:top w:val="nil"/>
                <w:left w:val="nil"/>
                <w:bottom w:val="nil"/>
                <w:right w:val="nil"/>
                <w:between w:val="nil"/>
              </w:pBdr>
              <w:ind w:left="720"/>
              <w:rPr>
                <w:rFonts w:ascii="Calibri" w:eastAsia="Calibri" w:hAnsi="Calibri" w:cs="Calibri"/>
                <w:b/>
                <w:color w:val="000000"/>
              </w:rPr>
            </w:pPr>
          </w:p>
          <w:p w14:paraId="751AF7FC"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rPr>
              <w:t>通过为教育工作者提供辅导培训来加强 PLC 的工作</w:t>
            </w:r>
          </w:p>
          <w:p w14:paraId="26A88558" w14:textId="77777777" w:rsidR="00FF4B40" w:rsidRDefault="00A07A2E">
            <w:pPr>
              <w:numPr>
                <w:ilvl w:val="0"/>
                <w:numId w:val="6"/>
              </w:numPr>
              <w:pBdr>
                <w:top w:val="nil"/>
                <w:left w:val="nil"/>
                <w:bottom w:val="nil"/>
                <w:right w:val="nil"/>
                <w:between w:val="nil"/>
              </w:pBdr>
              <w:rPr>
                <w:rFonts w:ascii="Calibri" w:eastAsia="Calibri" w:hAnsi="Calibri" w:cs="Calibri"/>
              </w:rPr>
            </w:pPr>
            <w:r>
              <w:rPr>
                <w:rFonts w:ascii="Calibri" w:eastAsia="Calibri" w:hAnsi="Calibri" w:cs="Calibri"/>
              </w:rPr>
              <w:t xml:space="preserve">对所有未达到 MAP </w:t>
            </w:r>
            <w:proofErr w:type="spellStart"/>
            <w:r>
              <w:rPr>
                <w:rFonts w:ascii="Calibri" w:eastAsia="Calibri" w:hAnsi="Calibri" w:cs="Calibri"/>
              </w:rPr>
              <w:t>测试标准的学生实施</w:t>
            </w:r>
            <w:proofErr w:type="spellEnd"/>
            <w:r>
              <w:rPr>
                <w:rFonts w:ascii="Calibri" w:eastAsia="Calibri" w:hAnsi="Calibri" w:cs="Calibri"/>
              </w:rPr>
              <w:t xml:space="preserve"> </w:t>
            </w:r>
            <w:proofErr w:type="spellStart"/>
            <w:r>
              <w:rPr>
                <w:rFonts w:ascii="Calibri" w:eastAsia="Calibri" w:hAnsi="Calibri" w:cs="Calibri"/>
              </w:rPr>
              <w:t>Fastbridge</w:t>
            </w:r>
            <w:proofErr w:type="spellEnd"/>
            <w:r>
              <w:rPr>
                <w:rFonts w:ascii="Calibri" w:eastAsia="Calibri" w:hAnsi="Calibri" w:cs="Calibri"/>
              </w:rPr>
              <w:t xml:space="preserve"> </w:t>
            </w:r>
            <w:proofErr w:type="spellStart"/>
            <w:r>
              <w:rPr>
                <w:rFonts w:ascii="Calibri" w:eastAsia="Calibri" w:hAnsi="Calibri" w:cs="Calibri"/>
              </w:rPr>
              <w:t>干预</w:t>
            </w:r>
            <w:proofErr w:type="spellEnd"/>
          </w:p>
          <w:p w14:paraId="2A10521E"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与 LNSU 同事合作，调整课程并确保为学生提供高质量的第一教学</w:t>
            </w:r>
          </w:p>
          <w:p w14:paraId="4F2B17DF"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在所有教室实施响应式课堂实践</w:t>
            </w:r>
          </w:p>
          <w:p w14:paraId="433FB116" w14:textId="77777777" w:rsidR="00FF4B40" w:rsidRDefault="00A07A2E">
            <w:pPr>
              <w:numPr>
                <w:ilvl w:val="0"/>
                <w:numId w:val="6"/>
              </w:numPr>
              <w:pBdr>
                <w:top w:val="nil"/>
                <w:left w:val="nil"/>
                <w:bottom w:val="nil"/>
                <w:right w:val="nil"/>
                <w:between w:val="nil"/>
              </w:pBdr>
            </w:pPr>
            <w:r>
              <w:rPr>
                <w:rFonts w:ascii="Calibri" w:eastAsia="Calibri" w:hAnsi="Calibri" w:cs="Calibri"/>
                <w:color w:val="000000"/>
              </w:rPr>
              <w:t xml:space="preserve">购买和管理全校 </w:t>
            </w:r>
            <w:r>
              <w:rPr>
                <w:rFonts w:ascii="Calibri" w:eastAsia="Calibri" w:hAnsi="Calibri" w:cs="Calibri"/>
              </w:rPr>
              <w:t xml:space="preserve">范围的综合成长评估 </w:t>
            </w:r>
            <w:r>
              <w:rPr>
                <w:rFonts w:ascii="Calibri" w:eastAsia="Calibri" w:hAnsi="Calibri" w:cs="Calibri"/>
                <w:color w:val="000000"/>
              </w:rPr>
              <w:t xml:space="preserve"> ，供所有学生使用</w:t>
            </w:r>
          </w:p>
          <w:p w14:paraId="7D79621E" w14:textId="77777777" w:rsidR="00FF4B40" w:rsidRDefault="00FF4B40">
            <w:pPr>
              <w:pBdr>
                <w:top w:val="nil"/>
                <w:left w:val="nil"/>
                <w:bottom w:val="nil"/>
                <w:right w:val="nil"/>
                <w:between w:val="nil"/>
              </w:pBdr>
              <w:ind w:left="360"/>
              <w:rPr>
                <w:rFonts w:ascii="Calibri" w:eastAsia="Calibri" w:hAnsi="Calibri" w:cs="Calibri"/>
              </w:rPr>
            </w:pPr>
          </w:p>
          <w:p w14:paraId="34B623E4" w14:textId="77777777" w:rsidR="00FF4B40" w:rsidRDefault="00FF4B40">
            <w:pPr>
              <w:pBdr>
                <w:top w:val="nil"/>
                <w:left w:val="nil"/>
                <w:bottom w:val="nil"/>
                <w:right w:val="nil"/>
                <w:between w:val="nil"/>
              </w:pBdr>
              <w:ind w:left="720"/>
              <w:rPr>
                <w:rFonts w:ascii="Calibri" w:eastAsia="Calibri" w:hAnsi="Calibri" w:cs="Calibri"/>
                <w:b/>
                <w:color w:val="000000"/>
              </w:rPr>
            </w:pPr>
          </w:p>
          <w:p w14:paraId="4A8BB992" w14:textId="77777777" w:rsidR="00FF4B40" w:rsidRDefault="00FF4B40"/>
        </w:tc>
        <w:tc>
          <w:tcPr>
            <w:tcW w:w="2970" w:type="dxa"/>
            <w:tcBorders>
              <w:top w:val="single" w:sz="4" w:space="0" w:color="000000"/>
              <w:left w:val="single" w:sz="4" w:space="0" w:color="000000"/>
              <w:bottom w:val="single" w:sz="4" w:space="0" w:color="000000"/>
              <w:right w:val="single" w:sz="4" w:space="0" w:color="000000"/>
            </w:tcBorders>
            <w:vAlign w:val="center"/>
          </w:tcPr>
          <w:p w14:paraId="6D5AE469"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在每次 PLC/数据团队会议上记录会议记录，以帮助团队监控其进度。 此外，学术领导团队会议记录将记录这项工作</w:t>
            </w:r>
          </w:p>
          <w:p w14:paraId="52F99032"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课程文件将显示一致性级别</w:t>
            </w:r>
          </w:p>
          <w:p w14:paraId="4B1DB856"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教师调查和校长观察将展示 RC 实施的水平和成功</w:t>
            </w:r>
          </w:p>
          <w:p w14:paraId="4E35A3D7"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学术领导团队会议记录将记录这项工作</w:t>
            </w:r>
          </w:p>
          <w:p w14:paraId="7ADB5ED2" w14:textId="77777777" w:rsidR="00FF4B40" w:rsidRDefault="00FF4B40"/>
        </w:tc>
        <w:tc>
          <w:tcPr>
            <w:tcW w:w="2670" w:type="dxa"/>
            <w:tcBorders>
              <w:top w:val="single" w:sz="4" w:space="0" w:color="000000"/>
              <w:left w:val="single" w:sz="4" w:space="0" w:color="000000"/>
              <w:bottom w:val="single" w:sz="4" w:space="0" w:color="000000"/>
              <w:right w:val="single" w:sz="4" w:space="0" w:color="000000"/>
            </w:tcBorders>
            <w:vAlign w:val="center"/>
          </w:tcPr>
          <w:p w14:paraId="4CD197D3" w14:textId="77777777" w:rsidR="00FF4B40" w:rsidRDefault="00A07A2E">
            <w:pPr>
              <w:numPr>
                <w:ilvl w:val="0"/>
                <w:numId w:val="1"/>
              </w:numPr>
              <w:pBdr>
                <w:top w:val="nil"/>
                <w:left w:val="nil"/>
                <w:bottom w:val="nil"/>
                <w:right w:val="nil"/>
                <w:between w:val="nil"/>
              </w:pBdr>
              <w:ind w:left="346" w:hanging="270"/>
              <w:rPr>
                <w:rFonts w:ascii="Calibri" w:eastAsia="Calibri" w:hAnsi="Calibri" w:cs="Calibri"/>
                <w:color w:val="000000"/>
              </w:rPr>
            </w:pPr>
            <w:r>
              <w:rPr>
                <w:rFonts w:ascii="Calibri" w:eastAsia="Calibri" w:hAnsi="Calibri" w:cs="Calibri"/>
                <w:color w:val="000000"/>
              </w:rPr>
              <w:t>教职员工将成为学术领导团队的一员</w:t>
            </w:r>
          </w:p>
          <w:p w14:paraId="1FBA44F5" w14:textId="77777777" w:rsidR="00FF4B40" w:rsidRDefault="00A07A2E">
            <w:pPr>
              <w:numPr>
                <w:ilvl w:val="0"/>
                <w:numId w:val="1"/>
              </w:numPr>
              <w:pBdr>
                <w:top w:val="nil"/>
                <w:left w:val="nil"/>
                <w:bottom w:val="nil"/>
                <w:right w:val="nil"/>
                <w:between w:val="nil"/>
              </w:pBdr>
              <w:ind w:left="346" w:hanging="270"/>
              <w:rPr>
                <w:rFonts w:ascii="Calibri" w:eastAsia="Calibri" w:hAnsi="Calibri" w:cs="Calibri"/>
                <w:color w:val="000000"/>
              </w:rPr>
            </w:pPr>
            <w:r>
              <w:rPr>
                <w:rFonts w:ascii="Calibri" w:eastAsia="Calibri" w:hAnsi="Calibri" w:cs="Calibri"/>
                <w:color w:val="000000"/>
              </w:rPr>
              <w:t>从当地预算中支付员工额外工作费用的资源</w:t>
            </w:r>
          </w:p>
          <w:p w14:paraId="47F43389" w14:textId="77777777" w:rsidR="00FF4B40" w:rsidRDefault="00A07A2E">
            <w:pPr>
              <w:numPr>
                <w:ilvl w:val="0"/>
                <w:numId w:val="1"/>
              </w:numPr>
              <w:pBdr>
                <w:top w:val="nil"/>
                <w:left w:val="nil"/>
                <w:bottom w:val="nil"/>
                <w:right w:val="nil"/>
                <w:between w:val="nil"/>
              </w:pBdr>
              <w:spacing w:after="200"/>
              <w:ind w:left="346" w:hanging="270"/>
              <w:rPr>
                <w:rFonts w:ascii="Calibri" w:eastAsia="Calibri" w:hAnsi="Calibri" w:cs="Calibri"/>
                <w:color w:val="000000"/>
              </w:rPr>
            </w:pPr>
            <w:r>
              <w:rPr>
                <w:rFonts w:ascii="Calibri" w:eastAsia="Calibri" w:hAnsi="Calibri" w:cs="Calibri"/>
                <w:color w:val="000000"/>
              </w:rPr>
              <w:t>员工会议时间</w:t>
            </w:r>
          </w:p>
          <w:p w14:paraId="7E69E203" w14:textId="77777777" w:rsidR="00FF4B40" w:rsidRDefault="00FF4B40"/>
        </w:tc>
      </w:tr>
    </w:tbl>
    <w:p w14:paraId="77E6F4FA" w14:textId="77777777" w:rsidR="00FF4B40" w:rsidRDefault="00A07A2E">
      <w:pPr>
        <w:pBdr>
          <w:top w:val="nil"/>
          <w:left w:val="nil"/>
          <w:bottom w:val="nil"/>
          <w:right w:val="nil"/>
          <w:between w:val="nil"/>
        </w:pBdr>
        <w:rPr>
          <w:b/>
          <w:color w:val="000000"/>
          <w:sz w:val="20"/>
          <w:szCs w:val="20"/>
        </w:rPr>
      </w:pPr>
      <w:r>
        <w:rPr>
          <w:b/>
          <w:color w:val="000000"/>
          <w:sz w:val="20"/>
          <w:szCs w:val="20"/>
        </w:rPr>
        <w:lastRenderedPageBreak/>
        <w:t xml:space="preserve">如果要包含特定于单个学校的目标和/或具有更多 SU/SD 目标，则可以创建其他行。 </w:t>
      </w:r>
    </w:p>
    <w:p w14:paraId="725114CD"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2B97F196"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7F1BDDBB" w14:textId="77777777" w:rsidR="00FF4B40" w:rsidRDefault="00A07A2E">
      <w:pPr>
        <w:pBdr>
          <w:top w:val="nil"/>
          <w:left w:val="nil"/>
          <w:bottom w:val="nil"/>
          <w:right w:val="nil"/>
          <w:between w:val="nil"/>
        </w:pBdr>
        <w:rPr>
          <w:rFonts w:ascii="Libre Franklin" w:eastAsia="Libre Franklin" w:hAnsi="Libre Franklin" w:cs="Libre Franklin"/>
          <w:color w:val="000000"/>
          <w:sz w:val="28"/>
          <w:szCs w:val="28"/>
        </w:rPr>
      </w:pPr>
      <w:r>
        <w:rPr>
          <w:rFonts w:ascii="Libre Franklin" w:eastAsia="Libre Franklin" w:hAnsi="Libre Franklin" w:cs="Libre Franklin"/>
          <w:b/>
          <w:color w:val="000000"/>
          <w:sz w:val="28"/>
          <w:szCs w:val="28"/>
        </w:rPr>
        <w:t>公平支持</w:t>
      </w:r>
      <w:r>
        <w:rPr>
          <w:rFonts w:ascii="Libre Franklin" w:eastAsia="Libre Franklin" w:hAnsi="Libre Franklin" w:cs="Libre Franklin"/>
          <w:color w:val="000000"/>
          <w:sz w:val="28"/>
          <w:szCs w:val="28"/>
        </w:rPr>
        <w:t xml:space="preserve"> （如果您的 SU/SD 或特定学校有资格获得公平支持，则需要）</w:t>
      </w:r>
    </w:p>
    <w:p w14:paraId="6B1651C2" w14:textId="77777777" w:rsidR="00FF4B40" w:rsidRDefault="00A07A2E">
      <w:r>
        <w:t>如果您的 LEA（或整个 LEA）中的任何学校有资格获得公平支持，请列出上述哪些目标或策略解决了获得资格的原因。 如果没有任何目标或策略涉及资格问题，请为每个有资格获得支持的实体确定单独的目标或策略。</w:t>
      </w:r>
    </w:p>
    <w:p w14:paraId="524B5EDC" w14:textId="77777777" w:rsidR="00FF4B40" w:rsidRDefault="00FF4B40"/>
    <w:tbl>
      <w:tblPr>
        <w:tblStyle w:val="af7"/>
        <w:tblW w:w="14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3240"/>
        <w:gridCol w:w="3150"/>
        <w:gridCol w:w="2880"/>
        <w:gridCol w:w="2785"/>
      </w:tblGrid>
      <w:tr w:rsidR="00FF4B40" w14:paraId="4C1E86FF" w14:textId="77777777">
        <w:tc>
          <w:tcPr>
            <w:tcW w:w="2335" w:type="dxa"/>
            <w:shd w:val="clear" w:color="auto" w:fill="BFBFBF"/>
          </w:tcPr>
          <w:p w14:paraId="3083009B" w14:textId="77777777" w:rsidR="00FF4B40" w:rsidRDefault="00FF4B40">
            <w:pPr>
              <w:pBdr>
                <w:top w:val="nil"/>
                <w:left w:val="nil"/>
                <w:bottom w:val="nil"/>
                <w:right w:val="nil"/>
                <w:between w:val="nil"/>
              </w:pBdr>
              <w:jc w:val="center"/>
              <w:rPr>
                <w:b/>
                <w:color w:val="000000"/>
                <w:sz w:val="20"/>
                <w:szCs w:val="20"/>
              </w:rPr>
            </w:pPr>
          </w:p>
          <w:p w14:paraId="2CBAF641"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符合条件的 LEA 或学校</w:t>
            </w:r>
          </w:p>
          <w:p w14:paraId="1B85DB15" w14:textId="77777777" w:rsidR="00FF4B40" w:rsidRDefault="00FF4B40">
            <w:pPr>
              <w:pBdr>
                <w:top w:val="nil"/>
                <w:left w:val="nil"/>
                <w:bottom w:val="nil"/>
                <w:right w:val="nil"/>
                <w:between w:val="nil"/>
              </w:pBdr>
              <w:jc w:val="center"/>
              <w:rPr>
                <w:b/>
                <w:color w:val="000000"/>
                <w:sz w:val="20"/>
                <w:szCs w:val="20"/>
              </w:rPr>
            </w:pPr>
          </w:p>
        </w:tc>
        <w:tc>
          <w:tcPr>
            <w:tcW w:w="3240" w:type="dxa"/>
            <w:shd w:val="clear" w:color="auto" w:fill="BFBFBF"/>
          </w:tcPr>
          <w:p w14:paraId="79326255" w14:textId="77777777" w:rsidR="00FF4B40" w:rsidRDefault="00FF4B40">
            <w:pPr>
              <w:pBdr>
                <w:top w:val="nil"/>
                <w:left w:val="nil"/>
                <w:bottom w:val="nil"/>
                <w:right w:val="nil"/>
                <w:between w:val="nil"/>
              </w:pBdr>
              <w:jc w:val="center"/>
              <w:rPr>
                <w:b/>
                <w:color w:val="000000"/>
                <w:sz w:val="20"/>
                <w:szCs w:val="20"/>
              </w:rPr>
            </w:pPr>
          </w:p>
          <w:p w14:paraId="1CF34F71"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优先目标</w:t>
            </w:r>
          </w:p>
        </w:tc>
        <w:tc>
          <w:tcPr>
            <w:tcW w:w="3150" w:type="dxa"/>
            <w:shd w:val="clear" w:color="auto" w:fill="BFBFBF"/>
          </w:tcPr>
          <w:p w14:paraId="3D3B5F91" w14:textId="77777777" w:rsidR="00FF4B40" w:rsidRDefault="00FF4B40">
            <w:pPr>
              <w:pBdr>
                <w:top w:val="nil"/>
                <w:left w:val="nil"/>
                <w:bottom w:val="nil"/>
                <w:right w:val="nil"/>
                <w:between w:val="nil"/>
              </w:pBdr>
              <w:jc w:val="center"/>
              <w:rPr>
                <w:b/>
                <w:color w:val="000000"/>
                <w:sz w:val="20"/>
                <w:szCs w:val="20"/>
              </w:rPr>
            </w:pPr>
          </w:p>
          <w:p w14:paraId="29CE1C63"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优先策略/变革想法</w:t>
            </w:r>
          </w:p>
        </w:tc>
        <w:tc>
          <w:tcPr>
            <w:tcW w:w="2880" w:type="dxa"/>
            <w:shd w:val="clear" w:color="auto" w:fill="BFBFBF"/>
          </w:tcPr>
          <w:p w14:paraId="6323CC38" w14:textId="77777777" w:rsidR="00FF4B40" w:rsidRDefault="00FF4B40">
            <w:pPr>
              <w:pBdr>
                <w:top w:val="nil"/>
                <w:left w:val="nil"/>
                <w:bottom w:val="nil"/>
                <w:right w:val="nil"/>
                <w:between w:val="nil"/>
              </w:pBdr>
              <w:jc w:val="center"/>
              <w:rPr>
                <w:b/>
                <w:color w:val="000000"/>
                <w:sz w:val="20"/>
                <w:szCs w:val="20"/>
              </w:rPr>
            </w:pPr>
          </w:p>
          <w:p w14:paraId="6F5E5A68"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措施</w:t>
            </w:r>
          </w:p>
        </w:tc>
        <w:tc>
          <w:tcPr>
            <w:tcW w:w="2785" w:type="dxa"/>
            <w:shd w:val="clear" w:color="auto" w:fill="BFBFBF"/>
          </w:tcPr>
          <w:p w14:paraId="11BF2E5C" w14:textId="77777777" w:rsidR="00FF4B40" w:rsidRDefault="00FF4B40">
            <w:pPr>
              <w:pBdr>
                <w:top w:val="nil"/>
                <w:left w:val="nil"/>
                <w:bottom w:val="nil"/>
                <w:right w:val="nil"/>
                <w:between w:val="nil"/>
              </w:pBdr>
              <w:jc w:val="center"/>
              <w:rPr>
                <w:b/>
                <w:color w:val="000000"/>
                <w:sz w:val="20"/>
                <w:szCs w:val="20"/>
              </w:rPr>
            </w:pPr>
          </w:p>
          <w:p w14:paraId="6E624C85"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支持实施的人力、物力和财力资源</w:t>
            </w:r>
          </w:p>
        </w:tc>
      </w:tr>
      <w:tr w:rsidR="00FF4B40" w14:paraId="4CCFD5EE" w14:textId="77777777">
        <w:tc>
          <w:tcPr>
            <w:tcW w:w="2335" w:type="dxa"/>
          </w:tcPr>
          <w:p w14:paraId="4A2DC81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9610F70" w14:textId="77777777" w:rsidR="00FF4B40" w:rsidRDefault="00A07A2E">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不適用</w:t>
            </w:r>
          </w:p>
        </w:tc>
        <w:tc>
          <w:tcPr>
            <w:tcW w:w="3240" w:type="dxa"/>
          </w:tcPr>
          <w:p w14:paraId="7B9A1EA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62975DEF"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63FB9587"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45A457F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2E75C592" w14:textId="77777777">
        <w:tc>
          <w:tcPr>
            <w:tcW w:w="2335" w:type="dxa"/>
          </w:tcPr>
          <w:p w14:paraId="5C4EE992"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A63654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3231031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1D50B9A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3CEF7198"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48E5AEF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09EBA96F" w14:textId="77777777">
        <w:tc>
          <w:tcPr>
            <w:tcW w:w="2335" w:type="dxa"/>
          </w:tcPr>
          <w:p w14:paraId="7729405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04961C5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0DC98A60"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07CE3FC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0E71399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28BA30B7"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4401415C" w14:textId="77777777">
        <w:tc>
          <w:tcPr>
            <w:tcW w:w="2335" w:type="dxa"/>
          </w:tcPr>
          <w:p w14:paraId="30CFCFB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2F601810"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1487F854"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3F4E722D"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3F7F0303"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06A35BB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bl>
    <w:p w14:paraId="7F3538C4" w14:textId="77777777" w:rsidR="00FF4B40" w:rsidRDefault="00A07A2E">
      <w:pPr>
        <w:pBdr>
          <w:top w:val="nil"/>
          <w:left w:val="nil"/>
          <w:bottom w:val="nil"/>
          <w:right w:val="nil"/>
          <w:between w:val="nil"/>
        </w:pBdr>
        <w:rPr>
          <w:b/>
          <w:color w:val="000000"/>
          <w:sz w:val="20"/>
          <w:szCs w:val="20"/>
        </w:rPr>
      </w:pPr>
      <w:r>
        <w:rPr>
          <w:b/>
          <w:color w:val="000000"/>
          <w:sz w:val="20"/>
          <w:szCs w:val="20"/>
        </w:rPr>
        <w:t>如果需要，添加其他行</w:t>
      </w:r>
    </w:p>
    <w:p w14:paraId="37CFA8F2"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34911B6A"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3DD580A2" w14:textId="77777777" w:rsidR="00FF4B40" w:rsidRDefault="00FF4B40">
      <w:pPr>
        <w:pBdr>
          <w:top w:val="nil"/>
          <w:left w:val="nil"/>
          <w:bottom w:val="nil"/>
          <w:right w:val="nil"/>
          <w:between w:val="nil"/>
        </w:pBdr>
        <w:rPr>
          <w:rFonts w:ascii="Libre Franklin" w:eastAsia="Libre Franklin" w:hAnsi="Libre Franklin" w:cs="Libre Franklin"/>
          <w:b/>
          <w:color w:val="000000"/>
          <w:sz w:val="28"/>
          <w:szCs w:val="28"/>
        </w:rPr>
      </w:pPr>
    </w:p>
    <w:p w14:paraId="42B4997F"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25718464" w14:textId="77777777" w:rsidR="00FF4B40" w:rsidRDefault="00A07A2E">
      <w:pPr>
        <w:pBdr>
          <w:top w:val="nil"/>
          <w:left w:val="nil"/>
          <w:bottom w:val="nil"/>
          <w:right w:val="nil"/>
          <w:between w:val="nil"/>
        </w:pBdr>
        <w:rPr>
          <w:rFonts w:ascii="Libre Franklin" w:eastAsia="Libre Franklin" w:hAnsi="Libre Franklin" w:cs="Libre Franklin"/>
          <w:sz w:val="28"/>
          <w:szCs w:val="28"/>
        </w:rPr>
      </w:pPr>
      <w:r>
        <w:br w:type="page"/>
      </w:r>
    </w:p>
    <w:p w14:paraId="0EF0AF59" w14:textId="77777777" w:rsidR="00FF4B40" w:rsidRDefault="00A07A2E">
      <w:pPr>
        <w:pBdr>
          <w:top w:val="nil"/>
          <w:left w:val="nil"/>
          <w:bottom w:val="nil"/>
          <w:right w:val="nil"/>
          <w:between w:val="nil"/>
        </w:pBdr>
        <w:rPr>
          <w:rFonts w:ascii="Libre Franklin" w:eastAsia="Libre Franklin" w:hAnsi="Libre Franklin" w:cs="Libre Franklin"/>
          <w:b/>
          <w:color w:val="000000"/>
          <w:sz w:val="28"/>
          <w:szCs w:val="28"/>
        </w:rPr>
      </w:pPr>
      <w:r>
        <w:rPr>
          <w:rFonts w:ascii="Libre Franklin" w:eastAsia="Libre Franklin" w:hAnsi="Libre Franklin" w:cs="Libre Franklin"/>
          <w:color w:val="000000"/>
          <w:sz w:val="28"/>
          <w:szCs w:val="28"/>
        </w:rPr>
        <w:lastRenderedPageBreak/>
        <w:t>计划评估和修订</w:t>
      </w:r>
    </w:p>
    <w:p w14:paraId="42839397" w14:textId="77777777" w:rsidR="00FF4B40" w:rsidRDefault="00A07A2E">
      <w:pPr>
        <w:pBdr>
          <w:top w:val="nil"/>
          <w:left w:val="nil"/>
          <w:bottom w:val="nil"/>
          <w:right w:val="nil"/>
          <w:between w:val="nil"/>
        </w:pBdr>
        <w:rPr>
          <w:rFonts w:ascii="Libre Franklin" w:eastAsia="Libre Franklin" w:hAnsi="Libre Franklin" w:cs="Libre Franklin"/>
          <w:b/>
          <w:color w:val="000000"/>
          <w:sz w:val="28"/>
          <w:szCs w:val="28"/>
        </w:rPr>
      </w:pPr>
      <w:r>
        <w:rPr>
          <w:color w:val="000000"/>
        </w:rPr>
        <w:t>描述您如何评估计划的实施情况和取得的成果的过程。 如何使用这些信息来修改计划以确保您达到预期的结果？</w:t>
      </w:r>
      <w:r>
        <w:rPr>
          <w:rFonts w:ascii="Libre Franklin" w:eastAsia="Libre Franklin" w:hAnsi="Libre Franklin" w:cs="Libre Franklin"/>
          <w:b/>
          <w:color w:val="000000"/>
          <w:sz w:val="28"/>
          <w:szCs w:val="28"/>
        </w:rPr>
        <w:br/>
      </w:r>
    </w:p>
    <w:tbl>
      <w:tblPr>
        <w:tblStyle w:val="af8"/>
        <w:tblW w:w="14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90"/>
      </w:tblGrid>
      <w:tr w:rsidR="00FF4B40" w14:paraId="1BF7224F" w14:textId="77777777">
        <w:tc>
          <w:tcPr>
            <w:tcW w:w="14390" w:type="dxa"/>
            <w:shd w:val="clear" w:color="auto" w:fill="BFBFBF"/>
          </w:tcPr>
          <w:p w14:paraId="4CC1F2C7" w14:textId="77777777" w:rsidR="00FF4B40" w:rsidRDefault="00FF4B40">
            <w:pPr>
              <w:pBdr>
                <w:top w:val="nil"/>
                <w:left w:val="nil"/>
                <w:bottom w:val="nil"/>
                <w:right w:val="nil"/>
                <w:between w:val="nil"/>
              </w:pBdr>
              <w:jc w:val="center"/>
              <w:rPr>
                <w:b/>
                <w:color w:val="000000"/>
                <w:sz w:val="20"/>
                <w:szCs w:val="20"/>
              </w:rPr>
            </w:pPr>
            <w:bookmarkStart w:id="2" w:name="_heading=h.3znysh7" w:colFirst="0" w:colLast="0"/>
            <w:bookmarkEnd w:id="2"/>
          </w:p>
          <w:p w14:paraId="478B9DD9"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评估持续改进计划的实施和结果的过程</w:t>
            </w:r>
          </w:p>
          <w:p w14:paraId="52337AB4" w14:textId="77777777" w:rsidR="00FF4B40" w:rsidRDefault="00FF4B40">
            <w:pPr>
              <w:pBdr>
                <w:top w:val="nil"/>
                <w:left w:val="nil"/>
                <w:bottom w:val="nil"/>
                <w:right w:val="nil"/>
                <w:between w:val="nil"/>
              </w:pBdr>
              <w:jc w:val="center"/>
              <w:rPr>
                <w:rFonts w:ascii="Times New Roman" w:eastAsia="Times New Roman" w:hAnsi="Times New Roman" w:cs="Times New Roman"/>
                <w:b/>
                <w:color w:val="000000"/>
                <w:sz w:val="20"/>
                <w:szCs w:val="20"/>
              </w:rPr>
            </w:pPr>
          </w:p>
        </w:tc>
      </w:tr>
      <w:tr w:rsidR="00FF4B40" w14:paraId="2EBA8BF3" w14:textId="77777777">
        <w:tc>
          <w:tcPr>
            <w:tcW w:w="14390" w:type="dxa"/>
          </w:tcPr>
          <w:p w14:paraId="72EBFF25" w14:textId="77777777" w:rsidR="00FF4B40" w:rsidRDefault="00A07A2E">
            <w:pPr>
              <w:pBdr>
                <w:top w:val="nil"/>
                <w:left w:val="nil"/>
                <w:bottom w:val="nil"/>
                <w:right w:val="nil"/>
                <w:between w:val="nil"/>
              </w:pBdr>
              <w:spacing w:after="24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评估 CIP 实施的流程</w:t>
            </w:r>
          </w:p>
          <w:p w14:paraId="62A83576" w14:textId="77777777" w:rsidR="00FF4B40" w:rsidRDefault="00A07A2E">
            <w:pPr>
              <w:numPr>
                <w:ilvl w:val="0"/>
                <w:numId w:val="3"/>
              </w:numPr>
              <w:pBdr>
                <w:top w:val="nil"/>
                <w:left w:val="nil"/>
                <w:bottom w:val="nil"/>
                <w:right w:val="nil"/>
                <w:between w:val="nil"/>
              </w:pBdr>
              <w:spacing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 领导团队（校长和来自各个教学团队的代表）将承担监督持续改进过程的主要作用。 他们每月召开两次会议，审查教学团队在学术和安全健康的学校目标方面取得的进展。成员还参加每周的员工 PLC 会议</w:t>
            </w:r>
          </w:p>
          <w:p w14:paraId="6A17D5D8"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2024 年春季，JES 教学和行为工作人员将开会完成“2023-2024 年数据清单信息”，以评估我们当前的 CIP 并制定我们未来的全校计划。工作人员将被要求分析学生评估和轶事数据，并回答许多关于我们学生的表现如何以及哪些策略和干预措施可以帮助未达到州学术标准的学生的问题。</w:t>
            </w:r>
          </w:p>
          <w:p w14:paraId="2F73A17A" w14:textId="77777777" w:rsidR="00FF4B40" w:rsidRDefault="00FF4B40">
            <w:pPr>
              <w:pBdr>
                <w:top w:val="nil"/>
                <w:left w:val="nil"/>
                <w:bottom w:val="nil"/>
                <w:right w:val="nil"/>
                <w:between w:val="nil"/>
              </w:pBdr>
              <w:rPr>
                <w:rFonts w:ascii="Times New Roman" w:eastAsia="Times New Roman" w:hAnsi="Times New Roman" w:cs="Times New Roman"/>
                <w:color w:val="000000"/>
                <w:sz w:val="24"/>
                <w:szCs w:val="24"/>
              </w:rPr>
            </w:pPr>
          </w:p>
          <w:p w14:paraId="02068F47" w14:textId="77777777" w:rsidR="00FF4B40" w:rsidRDefault="00A07A2E">
            <w:pPr>
              <w:pBdr>
                <w:top w:val="nil"/>
                <w:left w:val="nil"/>
                <w:bottom w:val="nil"/>
                <w:right w:val="nil"/>
                <w:between w:val="nil"/>
              </w:pBd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成功实施的结果</w:t>
            </w:r>
          </w:p>
          <w:p w14:paraId="50B354FC" w14:textId="77777777" w:rsidR="00FF4B40" w:rsidRDefault="00FF4B40">
            <w:pPr>
              <w:pBdr>
                <w:top w:val="nil"/>
                <w:left w:val="nil"/>
                <w:bottom w:val="nil"/>
                <w:right w:val="nil"/>
                <w:between w:val="nil"/>
              </w:pBdr>
              <w:rPr>
                <w:rFonts w:ascii="Times New Roman" w:eastAsia="Times New Roman" w:hAnsi="Times New Roman" w:cs="Times New Roman"/>
                <w:color w:val="000000"/>
                <w:sz w:val="24"/>
                <w:szCs w:val="24"/>
              </w:rPr>
            </w:pPr>
          </w:p>
          <w:p w14:paraId="0AD01840"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学生将在更高的水平上学习，这在 SBAC、Fountas 和 Pinell、MAP 和 Bridges Assessments 年级水平上表现的学生人数的增加就证明了这一点。</w:t>
            </w:r>
          </w:p>
          <w:p w14:paraId="6C3F0B6A"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学生会有更强的归属感（而且更多的学生会有归属感），办公室推荐减少和对学生 SEL 调查的高满意度就证明了这一点</w:t>
            </w:r>
          </w:p>
          <w:p w14:paraId="49A5DC3D"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报告在 JES 没有值得信赖的成年人的学生将减少</w:t>
            </w:r>
          </w:p>
          <w:p w14:paraId="7AFEFE3A"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bookmarkStart w:id="3" w:name="_heading=h.2et92p0" w:colFirst="0" w:colLast="0"/>
            <w:bookmarkEnd w:id="3"/>
            <w:r>
              <w:rPr>
                <w:rFonts w:ascii="Times New Roman" w:eastAsia="Times New Roman" w:hAnsi="Times New Roman" w:cs="Times New Roman"/>
                <w:color w:val="000000"/>
                <w:sz w:val="24"/>
                <w:szCs w:val="24"/>
              </w:rPr>
              <w:t xml:space="preserve">教师将提高实施统一课程和创造积极课堂氛围的技能，从而培养学生成长到最佳发展。 </w:t>
            </w:r>
          </w:p>
          <w:p w14:paraId="236BF0C2"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我们将看到逃学率的减少 </w:t>
            </w:r>
          </w:p>
          <w:p w14:paraId="7EFFF55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3C74645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83A7E53"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70D27BE"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bl>
    <w:p w14:paraId="4597C0A5" w14:textId="7A0BF712"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sectPr w:rsidR="00FF4B40">
      <w:footerReference w:type="default" r:id="rId12"/>
      <w:headerReference w:type="first" r:id="rId13"/>
      <w:pgSz w:w="15840" w:h="12240" w:orient="landscape"/>
      <w:pgMar w:top="1440" w:right="720" w:bottom="1440" w:left="720" w:header="72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0066" w14:textId="77777777" w:rsidR="004C0CBE" w:rsidRDefault="004C0CBE">
      <w:r>
        <w:separator/>
      </w:r>
    </w:p>
  </w:endnote>
  <w:endnote w:type="continuationSeparator" w:id="0">
    <w:p w14:paraId="5B02005F" w14:textId="77777777" w:rsidR="004C0CBE" w:rsidRDefault="004C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0C1682E-CFFE-454C-887B-6495FF05B33B}"/>
    <w:embedBold r:id="rId2" w:fontKey="{C2065D99-11B0-FF47-A749-C554F7228306}"/>
    <w:embedItalic r:id="rId3" w:fontKey="{835C7537-3B87-A649-9462-8962CC035024}"/>
    <w:embedBoldItalic r:id="rId4" w:fontKey="{82681B43-43C8-A042-9874-455AFB8D4AD8}"/>
  </w:font>
  <w:font w:name="Courier New">
    <w:panose1 w:val="02070309020205020404"/>
    <w:charset w:val="00"/>
    <w:family w:val="modern"/>
    <w:pitch w:val="fixed"/>
    <w:sig w:usb0="E0002AFF" w:usb1="C0007843" w:usb2="00000009" w:usb3="00000000" w:csb0="000001FF" w:csb1="00000000"/>
    <w:embedRegular r:id="rId5" w:fontKey="{CD2AA2E1-5C68-8841-9FD2-FCFA19EE76F7}"/>
  </w:font>
  <w:font w:name="Noto Sans Symbols">
    <w:charset w:val="00"/>
    <w:family w:val="auto"/>
    <w:pitch w:val="default"/>
    <w:embedRegular r:id="rId6" w:fontKey="{BB3F2A09-5054-E949-8393-9AD70D3FC87B}"/>
  </w:font>
  <w:font w:name="Palatino Linotype">
    <w:panose1 w:val="02040502050505030304"/>
    <w:charset w:val="00"/>
    <w:family w:val="roman"/>
    <w:pitch w:val="variable"/>
    <w:sig w:usb0="E0000287" w:usb1="40000013" w:usb2="00000000" w:usb3="00000000" w:csb0="0000019F" w:csb1="00000000"/>
    <w:embedRegular r:id="rId7" w:fontKey="{02E8BEAC-3221-AE4F-B590-620E97D6624B}"/>
    <w:embedBold r:id="rId8" w:fontKey="{B8658C94-C984-6B4E-8B3B-A012010715E4}"/>
    <w:embedItalic r:id="rId9" w:fontKey="{48466321-3F3C-C248-B1E0-C1524324CED9}"/>
  </w:font>
  <w:font w:name="Franklin Gothic Demi Cond">
    <w:panose1 w:val="020B0706030402020204"/>
    <w:charset w:val="00"/>
    <w:family w:val="swiss"/>
    <w:pitch w:val="variable"/>
    <w:sig w:usb0="00000287" w:usb1="00000000" w:usb2="00000000" w:usb3="00000000" w:csb0="0000009F" w:csb1="00000000"/>
    <w:embedRegular r:id="rId10" w:fontKey="{1B37293A-A6A8-8040-B26F-9D1B327601F4}"/>
  </w:font>
  <w:font w:name="Franklin Gothic Demi">
    <w:panose1 w:val="020B0703020102020204"/>
    <w:charset w:val="00"/>
    <w:family w:val="swiss"/>
    <w:pitch w:val="variable"/>
    <w:sig w:usb0="00000287" w:usb1="00000000" w:usb2="00000000" w:usb3="00000000" w:csb0="0000009F" w:csb1="00000000"/>
    <w:embedRegular r:id="rId11" w:fontKey="{1EF1D347-D712-8045-9BE9-208AC4A20FC8}"/>
    <w:embedItalic r:id="rId12" w:fontKey="{24DEB105-D2AD-494F-8A18-36EAAE5DA737}"/>
  </w:font>
  <w:font w:name="Calibri">
    <w:panose1 w:val="020F0502020204030204"/>
    <w:charset w:val="00"/>
    <w:family w:val="swiss"/>
    <w:pitch w:val="variable"/>
    <w:sig w:usb0="E0002AFF" w:usb1="C000247B" w:usb2="00000009" w:usb3="00000000" w:csb0="000001FF" w:csb1="00000000"/>
    <w:embedRegular r:id="rId13" w:fontKey="{5D30C36C-75A6-CD43-983B-2982F4F02730}"/>
    <w:embedBold r:id="rId14" w:fontKey="{DDEF87A9-73AB-E84F-8480-5A605E27A0A2}"/>
  </w:font>
  <w:font w:name="Tahoma">
    <w:panose1 w:val="020B0604030504040204"/>
    <w:charset w:val="00"/>
    <w:family w:val="swiss"/>
    <w:pitch w:val="variable"/>
    <w:sig w:usb0="E1002EFF" w:usb1="C000605B" w:usb2="00000029" w:usb3="00000000" w:csb0="000101FF" w:csb1="00000000"/>
    <w:embedRegular r:id="rId15" w:fontKey="{A48F9433-0B04-2B43-82F2-8494271C75C6}"/>
  </w:font>
  <w:font w:name="Georgia">
    <w:panose1 w:val="02040502050405020303"/>
    <w:charset w:val="00"/>
    <w:family w:val="roman"/>
    <w:pitch w:val="variable"/>
    <w:sig w:usb0="00000287" w:usb1="00000000" w:usb2="00000000" w:usb3="00000000" w:csb0="0000009F" w:csb1="00000000"/>
    <w:embedRegular r:id="rId16" w:fontKey="{34735C0F-2C53-4A4C-A92A-A756CD209F2A}"/>
    <w:embedItalic r:id="rId17" w:fontKey="{102FAC73-333F-6A4E-AAE9-4E97C8BB4BDC}"/>
  </w:font>
  <w:font w:name="Libre Franklin">
    <w:panose1 w:val="00000000000000000000"/>
    <w:charset w:val="4D"/>
    <w:family w:val="auto"/>
    <w:pitch w:val="variable"/>
    <w:sig w:usb0="A00000FF" w:usb1="4000205B" w:usb2="00000000" w:usb3="00000000" w:csb0="00000193" w:csb1="00000000"/>
    <w:embedRegular r:id="rId18" w:fontKey="{E5E80A34-15E1-D249-89B0-CE855E530C1D}"/>
    <w:embedBold r:id="rId19" w:fontKey="{1BB5EC4A-DD1C-A145-B8FC-889E46AB39D0}"/>
  </w:font>
  <w:font w:name="Cambria">
    <w:panose1 w:val="02040503050406030204"/>
    <w:charset w:val="00"/>
    <w:family w:val="roman"/>
    <w:pitch w:val="variable"/>
    <w:sig w:usb0="E00006FF" w:usb1="420024FF" w:usb2="02000000" w:usb3="00000000" w:csb0="0000019F" w:csb1="00000000"/>
    <w:embedRegular r:id="rId20" w:fontKey="{0B88DE29-BE3A-1B44-9959-969F538A42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318" w14:textId="77777777" w:rsidR="00FF4B40" w:rsidRDefault="00FF4B40">
    <w:pPr>
      <w:pBdr>
        <w:top w:val="nil"/>
        <w:left w:val="nil"/>
        <w:bottom w:val="nil"/>
        <w:right w:val="nil"/>
        <w:between w:val="nil"/>
      </w:pBdr>
      <w:spacing w:line="276" w:lineRule="auto"/>
      <w:rPr>
        <w:color w:val="000000"/>
        <w:sz w:val="2"/>
        <w:szCs w:val="2"/>
      </w:rPr>
    </w:pPr>
  </w:p>
  <w:tbl>
    <w:tblPr>
      <w:tblStyle w:val="afa"/>
      <w:tblW w:w="14400" w:type="dxa"/>
      <w:tblInd w:w="-115"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4800"/>
      <w:gridCol w:w="4797"/>
      <w:gridCol w:w="4803"/>
    </w:tblGrid>
    <w:tr w:rsidR="00FF4B40" w14:paraId="75CBAF51" w14:textId="77777777">
      <w:trPr>
        <w:trHeight w:val="633"/>
        <w:tblHeader/>
      </w:trPr>
      <w:tc>
        <w:tcPr>
          <w:tcW w:w="4800" w:type="dxa"/>
        </w:tcPr>
        <w:p w14:paraId="470F5224" w14:textId="77777777" w:rsidR="00FF4B40" w:rsidRDefault="00A07A2E">
          <w:pPr>
            <w:pBdr>
              <w:top w:val="nil"/>
              <w:left w:val="nil"/>
              <w:bottom w:val="nil"/>
              <w:right w:val="nil"/>
              <w:between w:val="nil"/>
            </w:pBdr>
            <w:tabs>
              <w:tab w:val="left" w:pos="4680"/>
              <w:tab w:val="right" w:pos="9360"/>
            </w:tabs>
            <w:rPr>
              <w:color w:val="000000"/>
              <w:sz w:val="20"/>
              <w:szCs w:val="20"/>
            </w:rPr>
          </w:pPr>
          <w:r>
            <w:rPr>
              <w:color w:val="000000"/>
              <w:sz w:val="20"/>
              <w:szCs w:val="20"/>
            </w:rPr>
            <w:t>持续改进计划（修订：</w:t>
          </w:r>
          <w:r>
            <w:rPr>
              <w:sz w:val="20"/>
              <w:szCs w:val="20"/>
            </w:rPr>
            <w:t xml:space="preserve">2024 </w:t>
          </w:r>
          <w:r>
            <w:rPr>
              <w:color w:val="000000"/>
              <w:sz w:val="20"/>
              <w:szCs w:val="20"/>
            </w:rPr>
            <w:t>年 7 月 15 日）</w:t>
          </w:r>
        </w:p>
      </w:tc>
      <w:tc>
        <w:tcPr>
          <w:tcW w:w="4797" w:type="dxa"/>
        </w:tcPr>
        <w:p w14:paraId="31CF016D" w14:textId="77777777" w:rsidR="00FF4B40" w:rsidRDefault="00A07A2E">
          <w:pPr>
            <w:pBdr>
              <w:top w:val="nil"/>
              <w:left w:val="nil"/>
              <w:bottom w:val="nil"/>
              <w:right w:val="nil"/>
              <w:between w:val="nil"/>
            </w:pBdr>
            <w:tabs>
              <w:tab w:val="left" w:pos="4680"/>
              <w:tab w:val="right" w:pos="9360"/>
            </w:tabs>
            <w:jc w:val="center"/>
            <w:rPr>
              <w:color w:val="000000"/>
              <w:sz w:val="20"/>
              <w:szCs w:val="20"/>
            </w:rPr>
          </w:pPr>
          <w:r>
            <w:rPr>
              <w:color w:val="000000"/>
              <w:sz w:val="20"/>
              <w:szCs w:val="20"/>
            </w:rPr>
            <w:t xml:space="preserve">页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2</w:t>
          </w:r>
          <w:r>
            <w:rPr>
              <w:b/>
              <w:color w:val="000000"/>
              <w:sz w:val="20"/>
              <w:szCs w:val="20"/>
            </w:rPr>
            <w:fldChar w:fldCharType="end"/>
          </w:r>
          <w:r>
            <w:rPr>
              <w:color w:val="000000"/>
              <w:sz w:val="20"/>
              <w:szCs w:val="20"/>
            </w:rPr>
            <w:t xml:space="preserve"> 之 </w:t>
          </w:r>
          <w:r>
            <w:rPr>
              <w:color w:val="000000"/>
              <w:sz w:val="20"/>
              <w:szCs w:val="20"/>
            </w:rPr>
            <w:fldChar w:fldCharType="begin"/>
          </w:r>
          <w:r>
            <w:rPr>
              <w:color w:val="000000"/>
              <w:sz w:val="20"/>
              <w:szCs w:val="20"/>
            </w:rPr>
            <w:instrText>NUMPAGES</w:instrText>
          </w:r>
          <w:r>
            <w:rPr>
              <w:color w:val="000000"/>
              <w:sz w:val="20"/>
              <w:szCs w:val="20"/>
            </w:rPr>
            <w:fldChar w:fldCharType="separate"/>
          </w:r>
          <w:r>
            <w:rPr>
              <w:noProof/>
              <w:color w:val="000000"/>
              <w:sz w:val="20"/>
              <w:szCs w:val="20"/>
            </w:rPr>
            <w:t>3</w:t>
          </w:r>
          <w:r>
            <w:rPr>
              <w:color w:val="000000"/>
              <w:sz w:val="20"/>
              <w:szCs w:val="20"/>
            </w:rPr>
            <w:fldChar w:fldCharType="end"/>
          </w:r>
        </w:p>
      </w:tc>
      <w:tc>
        <w:tcPr>
          <w:tcW w:w="4803" w:type="dxa"/>
        </w:tcPr>
        <w:p w14:paraId="6D767DF9" w14:textId="77777777" w:rsidR="00FF4B40" w:rsidRDefault="00A07A2E">
          <w:pPr>
            <w:pBdr>
              <w:top w:val="nil"/>
              <w:left w:val="nil"/>
              <w:bottom w:val="nil"/>
              <w:right w:val="nil"/>
              <w:between w:val="nil"/>
            </w:pBdr>
            <w:tabs>
              <w:tab w:val="left" w:pos="4680"/>
              <w:tab w:val="right" w:pos="9360"/>
            </w:tabs>
            <w:jc w:val="right"/>
            <w:rPr>
              <w:color w:val="000000"/>
              <w:sz w:val="20"/>
              <w:szCs w:val="20"/>
            </w:rPr>
          </w:pPr>
          <w:r>
            <w:rPr>
              <w:noProof/>
              <w:color w:val="000000"/>
              <w:sz w:val="20"/>
              <w:szCs w:val="20"/>
            </w:rPr>
            <w:drawing>
              <wp:inline distT="0" distB="0" distL="0" distR="0" wp14:anchorId="123A737A" wp14:editId="676CD992">
                <wp:extent cx="1458349" cy="365760"/>
                <wp:effectExtent l="0" t="0" r="0" b="0"/>
                <wp:docPr id="13" name="image2.png" descr="AOE 标志"/>
                <wp:cNvGraphicFramePr/>
                <a:graphic xmlns:a="http://schemas.openxmlformats.org/drawingml/2006/main">
                  <a:graphicData uri="http://schemas.openxmlformats.org/drawingml/2006/picture">
                    <pic:pic xmlns:pic="http://schemas.openxmlformats.org/drawingml/2006/picture">
                      <pic:nvPicPr>
                        <pic:cNvPr id="0" name="image2.png" descr="AOE logo"/>
                        <pic:cNvPicPr preferRelativeResize="0"/>
                      </pic:nvPicPr>
                      <pic:blipFill>
                        <a:blip r:embed="rId1"/>
                        <a:srcRect/>
                        <a:stretch>
                          <a:fillRect/>
                        </a:stretch>
                      </pic:blipFill>
                      <pic:spPr>
                        <a:xfrm>
                          <a:off x="0" y="0"/>
                          <a:ext cx="1458349" cy="365760"/>
                        </a:xfrm>
                        <a:prstGeom prst="rect">
                          <a:avLst/>
                        </a:prstGeom>
                        <a:ln/>
                      </pic:spPr>
                    </pic:pic>
                  </a:graphicData>
                </a:graphic>
              </wp:inline>
            </w:drawing>
          </w:r>
        </w:p>
      </w:tc>
    </w:tr>
  </w:tbl>
  <w:p w14:paraId="2211ABFE" w14:textId="77777777" w:rsidR="00FF4B40" w:rsidRDefault="00FF4B40">
    <w:pPr>
      <w:pBdr>
        <w:top w:val="nil"/>
        <w:left w:val="nil"/>
        <w:bottom w:val="nil"/>
        <w:right w:val="nil"/>
        <w:between w:val="nil"/>
      </w:pBdr>
      <w:tabs>
        <w:tab w:val="left" w:pos="4680"/>
        <w:tab w:val="right" w:pos="9360"/>
      </w:tabs>
      <w:rPr>
        <w:color w:val="000000"/>
        <w:sz w:val="4"/>
        <w:szCs w:val="4"/>
      </w:rPr>
    </w:pPr>
  </w:p>
  <w:p w14:paraId="1AFFE29A" w14:textId="77777777" w:rsidR="00FF4B40" w:rsidRDefault="00FF4B40">
    <w:pPr>
      <w:pBdr>
        <w:top w:val="nil"/>
        <w:left w:val="nil"/>
        <w:bottom w:val="nil"/>
        <w:right w:val="nil"/>
        <w:between w:val="nil"/>
      </w:pBdr>
      <w:tabs>
        <w:tab w:val="left"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5289" w14:textId="77777777" w:rsidR="004C0CBE" w:rsidRDefault="004C0CBE">
      <w:r>
        <w:separator/>
      </w:r>
    </w:p>
  </w:footnote>
  <w:footnote w:type="continuationSeparator" w:id="0">
    <w:p w14:paraId="6A6855D4" w14:textId="77777777" w:rsidR="004C0CBE" w:rsidRDefault="004C0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81D9" w14:textId="77777777" w:rsidR="00FF4B40" w:rsidRDefault="00FF4B4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bl>
    <w:tblPr>
      <w:tblStyle w:val="af9"/>
      <w:tblW w:w="14585" w:type="dxa"/>
      <w:tblInd w:w="-383" w:type="dxa"/>
      <w:tblBorders>
        <w:top w:val="nil"/>
        <w:left w:val="nil"/>
        <w:bottom w:val="single" w:sz="8" w:space="0" w:color="000000"/>
        <w:right w:val="nil"/>
        <w:insideH w:val="nil"/>
        <w:insideV w:val="nil"/>
      </w:tblBorders>
      <w:tblLayout w:type="fixed"/>
      <w:tblLook w:val="0400" w:firstRow="0" w:lastRow="0" w:firstColumn="0" w:lastColumn="0" w:noHBand="0" w:noVBand="1"/>
    </w:tblPr>
    <w:tblGrid>
      <w:gridCol w:w="9005"/>
      <w:gridCol w:w="5580"/>
    </w:tblGrid>
    <w:tr w:rsidR="00FF4B40" w14:paraId="14795AF2" w14:textId="77777777">
      <w:tc>
        <w:tcPr>
          <w:tcW w:w="9005" w:type="dxa"/>
        </w:tcPr>
        <w:p w14:paraId="23FA08F2" w14:textId="77777777" w:rsidR="00FF4B40" w:rsidRDefault="00A07A2E">
          <w:pPr>
            <w:pBdr>
              <w:top w:val="nil"/>
              <w:left w:val="nil"/>
              <w:bottom w:val="nil"/>
              <w:right w:val="nil"/>
              <w:between w:val="nil"/>
            </w:pBdr>
            <w:rPr>
              <w:color w:val="000000"/>
              <w:sz w:val="20"/>
              <w:szCs w:val="20"/>
            </w:rPr>
          </w:pPr>
          <w:bookmarkStart w:id="4" w:name="_heading=h.tyjcwt" w:colFirst="0" w:colLast="0"/>
          <w:bookmarkEnd w:id="4"/>
          <w:r>
            <w:rPr>
              <w:noProof/>
              <w:color w:val="000000"/>
            </w:rPr>
            <w:drawing>
              <wp:inline distT="0" distB="0" distL="0" distR="0" wp14:anchorId="55E3B677" wp14:editId="1BDBD9CF">
                <wp:extent cx="1576705" cy="411480"/>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76705" cy="411480"/>
                        </a:xfrm>
                        <a:prstGeom prst="rect">
                          <a:avLst/>
                        </a:prstGeom>
                        <a:ln/>
                      </pic:spPr>
                    </pic:pic>
                  </a:graphicData>
                </a:graphic>
              </wp:inline>
            </w:drawing>
          </w:r>
        </w:p>
      </w:tc>
      <w:tc>
        <w:tcPr>
          <w:tcW w:w="5580" w:type="dxa"/>
        </w:tcPr>
        <w:p w14:paraId="4A35FEB6" w14:textId="77777777" w:rsidR="00FF4B40" w:rsidRDefault="00A07A2E">
          <w:pPr>
            <w:pBdr>
              <w:top w:val="nil"/>
              <w:left w:val="nil"/>
              <w:bottom w:val="nil"/>
              <w:right w:val="nil"/>
              <w:between w:val="nil"/>
            </w:pBdr>
            <w:rPr>
              <w:color w:val="000000"/>
              <w:sz w:val="20"/>
              <w:szCs w:val="20"/>
            </w:rPr>
          </w:pPr>
          <w:bookmarkStart w:id="5" w:name="_heading=h.3dy6vkm" w:colFirst="0" w:colLast="0"/>
          <w:bookmarkEnd w:id="5"/>
          <w:r>
            <w:rPr>
              <w:color w:val="000000"/>
              <w:sz w:val="20"/>
              <w:szCs w:val="20"/>
            </w:rPr>
            <w:t>1 National Life Drive， Davis 5， Montpelier， VT 05620-2501（p） 802-828-1130 |（传真） 802-828-6430 |education.vermont.gov</w:t>
          </w:r>
        </w:p>
      </w:tc>
    </w:tr>
  </w:tbl>
  <w:p w14:paraId="0EA2ACB1" w14:textId="77777777" w:rsidR="00FF4B40" w:rsidRDefault="00FF4B40">
    <w:pPr>
      <w:pBdr>
        <w:top w:val="nil"/>
        <w:left w:val="nil"/>
        <w:bottom w:val="nil"/>
        <w:right w:val="nil"/>
        <w:between w:val="nil"/>
      </w:pBdr>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25C"/>
    <w:multiLevelType w:val="multilevel"/>
    <w:tmpl w:val="5DAAC2FE"/>
    <w:lvl w:ilvl="0">
      <w:start w:val="1"/>
      <w:numFmt w:val="chineseCounting"/>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63166A"/>
    <w:multiLevelType w:val="multilevel"/>
    <w:tmpl w:val="439C39C6"/>
    <w:lvl w:ilvl="0">
      <w:start w:val="1"/>
      <w:numFmt w:val="chineseCounting"/>
      <w:pStyle w:val="AOEBulletedList"/>
      <w:lvlText w:val="%1."/>
      <w:lvlJc w:val="left"/>
      <w:pPr>
        <w:tabs>
          <w:tab w:val="num" w:pos="720"/>
        </w:tabs>
        <w:ind w:left="720" w:hanging="720"/>
      </w:pPr>
    </w:lvl>
    <w:lvl w:ilvl="1">
      <w:start w:val="1"/>
      <w:numFmt w:val="chineseCounting"/>
      <w:lvlText w:val="%2."/>
      <w:lvlJc w:val="left"/>
      <w:pPr>
        <w:tabs>
          <w:tab w:val="num" w:pos="1440"/>
        </w:tabs>
        <w:ind w:left="1440" w:hanging="720"/>
      </w:pPr>
    </w:lvl>
    <w:lvl w:ilvl="2">
      <w:start w:val="1"/>
      <w:numFmt w:val="chineseCounting"/>
      <w:lvlText w:val="%3."/>
      <w:lvlJc w:val="left"/>
      <w:pPr>
        <w:tabs>
          <w:tab w:val="num" w:pos="2160"/>
        </w:tabs>
        <w:ind w:left="2160" w:hanging="720"/>
      </w:pPr>
    </w:lvl>
    <w:lvl w:ilvl="3">
      <w:start w:val="1"/>
      <w:numFmt w:val="chineseCounting"/>
      <w:lvlText w:val="%4."/>
      <w:lvlJc w:val="left"/>
      <w:pPr>
        <w:tabs>
          <w:tab w:val="num" w:pos="2880"/>
        </w:tabs>
        <w:ind w:left="2880" w:hanging="720"/>
      </w:pPr>
    </w:lvl>
    <w:lvl w:ilvl="4">
      <w:start w:val="1"/>
      <w:numFmt w:val="chineseCounting"/>
      <w:lvlText w:val="%5."/>
      <w:lvlJc w:val="left"/>
      <w:pPr>
        <w:tabs>
          <w:tab w:val="num" w:pos="3600"/>
        </w:tabs>
        <w:ind w:left="3600" w:hanging="720"/>
      </w:pPr>
    </w:lvl>
    <w:lvl w:ilvl="5">
      <w:start w:val="1"/>
      <w:numFmt w:val="chineseCounting"/>
      <w:lvlText w:val="%6."/>
      <w:lvlJc w:val="left"/>
      <w:pPr>
        <w:tabs>
          <w:tab w:val="num" w:pos="4320"/>
        </w:tabs>
        <w:ind w:left="4320" w:hanging="720"/>
      </w:pPr>
    </w:lvl>
    <w:lvl w:ilvl="6">
      <w:start w:val="1"/>
      <w:numFmt w:val="chineseCounting"/>
      <w:lvlText w:val="%7."/>
      <w:lvlJc w:val="left"/>
      <w:pPr>
        <w:tabs>
          <w:tab w:val="num" w:pos="5040"/>
        </w:tabs>
        <w:ind w:left="5040" w:hanging="720"/>
      </w:pPr>
    </w:lvl>
    <w:lvl w:ilvl="7">
      <w:start w:val="1"/>
      <w:numFmt w:val="chineseCounting"/>
      <w:lvlText w:val="%8."/>
      <w:lvlJc w:val="left"/>
      <w:pPr>
        <w:tabs>
          <w:tab w:val="num" w:pos="5760"/>
        </w:tabs>
        <w:ind w:left="5760" w:hanging="720"/>
      </w:pPr>
    </w:lvl>
    <w:lvl w:ilvl="8">
      <w:start w:val="1"/>
      <w:numFmt w:val="chineseCounting"/>
      <w:lvlText w:val="%9."/>
      <w:lvlJc w:val="left"/>
      <w:pPr>
        <w:tabs>
          <w:tab w:val="num" w:pos="6480"/>
        </w:tabs>
        <w:ind w:left="6480" w:hanging="720"/>
      </w:pPr>
    </w:lvl>
  </w:abstractNum>
  <w:abstractNum w:abstractNumId="2" w15:restartNumberingAfterBreak="0">
    <w:nsid w:val="16A72FCB"/>
    <w:multiLevelType w:val="multilevel"/>
    <w:tmpl w:val="8E18A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92727D"/>
    <w:multiLevelType w:val="multilevel"/>
    <w:tmpl w:val="D5ACD9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D91A95"/>
    <w:multiLevelType w:val="multilevel"/>
    <w:tmpl w:val="0694969C"/>
    <w:lvl w:ilvl="0">
      <w:start w:val="1"/>
      <w:numFmt w:val="bullet"/>
      <w:lvlText w:val="●"/>
      <w:lvlJc w:val="left"/>
      <w:pPr>
        <w:ind w:left="0" w:hanging="360"/>
      </w:pPr>
      <w:rPr>
        <w:rFonts w:ascii="Noto Sans Symbols" w:eastAsia="Noto Sans Symbols" w:hAnsi="Noto Sans Symbols" w:cs="Noto Sans Symbols"/>
        <w:sz w:val="20"/>
        <w:szCs w:val="20"/>
      </w:rPr>
    </w:lvl>
    <w:lvl w:ilvl="1">
      <w:start w:val="1"/>
      <w:numFmt w:val="chineseCounting"/>
      <w:lvlText w:val="%2."/>
      <w:lvlJc w:val="left"/>
      <w:pPr>
        <w:ind w:left="720" w:hanging="360"/>
      </w:pPr>
    </w:lvl>
    <w:lvl w:ilvl="2">
      <w:start w:val="1"/>
      <w:numFmt w:val="bullet"/>
      <w:lvlText w:val="▪"/>
      <w:lvlJc w:val="left"/>
      <w:pPr>
        <w:ind w:left="1440" w:hanging="360"/>
      </w:pPr>
      <w:rPr>
        <w:rFonts w:ascii="Noto Sans Symbols" w:eastAsia="Noto Sans Symbols" w:hAnsi="Noto Sans Symbols" w:cs="Noto Sans Symbols"/>
        <w:sz w:val="20"/>
        <w:szCs w:val="20"/>
      </w:rPr>
    </w:lvl>
    <w:lvl w:ilvl="3">
      <w:start w:val="1"/>
      <w:numFmt w:val="bullet"/>
      <w:lvlText w:val="▪"/>
      <w:lvlJc w:val="left"/>
      <w:pPr>
        <w:ind w:left="2160" w:hanging="360"/>
      </w:pPr>
      <w:rPr>
        <w:rFonts w:ascii="Noto Sans Symbols" w:eastAsia="Noto Sans Symbols" w:hAnsi="Noto Sans Symbols" w:cs="Noto Sans Symbols"/>
        <w:sz w:val="20"/>
        <w:szCs w:val="20"/>
      </w:rPr>
    </w:lvl>
    <w:lvl w:ilvl="4">
      <w:start w:val="1"/>
      <w:numFmt w:val="bullet"/>
      <w:lvlText w:val="▪"/>
      <w:lvlJc w:val="left"/>
      <w:pPr>
        <w:ind w:left="2880" w:hanging="360"/>
      </w:pPr>
      <w:rPr>
        <w:rFonts w:ascii="Noto Sans Symbols" w:eastAsia="Noto Sans Symbols" w:hAnsi="Noto Sans Symbols" w:cs="Noto Sans Symbols"/>
        <w:sz w:val="20"/>
        <w:szCs w:val="20"/>
      </w:rPr>
    </w:lvl>
    <w:lvl w:ilvl="5">
      <w:start w:val="1"/>
      <w:numFmt w:val="bullet"/>
      <w:lvlText w:val="▪"/>
      <w:lvlJc w:val="left"/>
      <w:pPr>
        <w:ind w:left="3600" w:hanging="360"/>
      </w:pPr>
      <w:rPr>
        <w:rFonts w:ascii="Noto Sans Symbols" w:eastAsia="Noto Sans Symbols" w:hAnsi="Noto Sans Symbols" w:cs="Noto Sans Symbols"/>
        <w:sz w:val="20"/>
        <w:szCs w:val="20"/>
      </w:rPr>
    </w:lvl>
    <w:lvl w:ilvl="6">
      <w:start w:val="1"/>
      <w:numFmt w:val="bullet"/>
      <w:lvlText w:val="▪"/>
      <w:lvlJc w:val="left"/>
      <w:pPr>
        <w:ind w:left="4320" w:hanging="360"/>
      </w:pPr>
      <w:rPr>
        <w:rFonts w:ascii="Noto Sans Symbols" w:eastAsia="Noto Sans Symbols" w:hAnsi="Noto Sans Symbols" w:cs="Noto Sans Symbols"/>
        <w:sz w:val="20"/>
        <w:szCs w:val="20"/>
      </w:rPr>
    </w:lvl>
    <w:lvl w:ilvl="7">
      <w:start w:val="1"/>
      <w:numFmt w:val="bullet"/>
      <w:lvlText w:val="▪"/>
      <w:lvlJc w:val="left"/>
      <w:pPr>
        <w:ind w:left="5040" w:hanging="360"/>
      </w:pPr>
      <w:rPr>
        <w:rFonts w:ascii="Noto Sans Symbols" w:eastAsia="Noto Sans Symbols" w:hAnsi="Noto Sans Symbols" w:cs="Noto Sans Symbols"/>
        <w:sz w:val="20"/>
        <w:szCs w:val="20"/>
      </w:rPr>
    </w:lvl>
    <w:lvl w:ilvl="8">
      <w:start w:val="1"/>
      <w:numFmt w:val="bullet"/>
      <w:lvlText w:val="▪"/>
      <w:lvlJc w:val="left"/>
      <w:pPr>
        <w:ind w:left="5760" w:hanging="360"/>
      </w:pPr>
      <w:rPr>
        <w:rFonts w:ascii="Noto Sans Symbols" w:eastAsia="Noto Sans Symbols" w:hAnsi="Noto Sans Symbols" w:cs="Noto Sans Symbols"/>
        <w:sz w:val="20"/>
        <w:szCs w:val="20"/>
      </w:rPr>
    </w:lvl>
  </w:abstractNum>
  <w:abstractNum w:abstractNumId="5" w15:restartNumberingAfterBreak="0">
    <w:nsid w:val="46113BC1"/>
    <w:multiLevelType w:val="multilevel"/>
    <w:tmpl w:val="334C5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3E3E57"/>
    <w:multiLevelType w:val="multilevel"/>
    <w:tmpl w:val="7DBE6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374D2B"/>
    <w:multiLevelType w:val="multilevel"/>
    <w:tmpl w:val="5AD4F1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BB366C"/>
    <w:multiLevelType w:val="multilevel"/>
    <w:tmpl w:val="1526B652"/>
    <w:lvl w:ilvl="0">
      <w:start w:val="1"/>
      <w:numFmt w:val="chineseCounting"/>
      <w:lvlText w:val="%1."/>
      <w:lvlJc w:val="left"/>
      <w:pPr>
        <w:ind w:left="360" w:hanging="360"/>
      </w:pPr>
    </w:lvl>
    <w:lvl w:ilvl="1">
      <w:start w:val="1"/>
      <w:numFmt w:val="chineseCounting"/>
      <w:lvlText w:val="%2."/>
      <w:lvlJc w:val="left"/>
      <w:pPr>
        <w:ind w:left="1080" w:hanging="360"/>
      </w:pPr>
    </w:lvl>
    <w:lvl w:ilvl="2">
      <w:start w:val="1"/>
      <w:numFmt w:val="chineseCounting"/>
      <w:lvlText w:val="%3."/>
      <w:lvlJc w:val="right"/>
      <w:pPr>
        <w:ind w:left="1800" w:hanging="180"/>
      </w:pPr>
    </w:lvl>
    <w:lvl w:ilvl="3">
      <w:start w:val="1"/>
      <w:numFmt w:val="chineseCounting"/>
      <w:lvlText w:val="%4."/>
      <w:lvlJc w:val="left"/>
      <w:pPr>
        <w:ind w:left="2520" w:hanging="360"/>
      </w:pPr>
    </w:lvl>
    <w:lvl w:ilvl="4">
      <w:start w:val="1"/>
      <w:numFmt w:val="chineseCounting"/>
      <w:lvlText w:val="%5."/>
      <w:lvlJc w:val="left"/>
      <w:pPr>
        <w:ind w:left="3240" w:hanging="360"/>
      </w:pPr>
    </w:lvl>
    <w:lvl w:ilvl="5">
      <w:start w:val="1"/>
      <w:numFmt w:val="chineseCounting"/>
      <w:lvlText w:val="%6."/>
      <w:lvlJc w:val="right"/>
      <w:pPr>
        <w:ind w:left="3960" w:hanging="180"/>
      </w:pPr>
    </w:lvl>
    <w:lvl w:ilvl="6">
      <w:start w:val="1"/>
      <w:numFmt w:val="chineseCounting"/>
      <w:lvlText w:val="%7."/>
      <w:lvlJc w:val="left"/>
      <w:pPr>
        <w:ind w:left="4680" w:hanging="360"/>
      </w:pPr>
    </w:lvl>
    <w:lvl w:ilvl="7">
      <w:start w:val="1"/>
      <w:numFmt w:val="chineseCounting"/>
      <w:lvlText w:val="%8."/>
      <w:lvlJc w:val="left"/>
      <w:pPr>
        <w:ind w:left="5400" w:hanging="360"/>
      </w:pPr>
    </w:lvl>
    <w:lvl w:ilvl="8">
      <w:start w:val="1"/>
      <w:numFmt w:val="chineseCounting"/>
      <w:lvlText w:val="%9."/>
      <w:lvlJc w:val="right"/>
      <w:pPr>
        <w:ind w:left="6120" w:hanging="180"/>
      </w:pPr>
    </w:lvl>
  </w:abstractNum>
  <w:num w:numId="1" w16cid:durableId="858540397">
    <w:abstractNumId w:val="3"/>
  </w:num>
  <w:num w:numId="2" w16cid:durableId="593783754">
    <w:abstractNumId w:val="8"/>
  </w:num>
  <w:num w:numId="3" w16cid:durableId="1302809310">
    <w:abstractNumId w:val="2"/>
  </w:num>
  <w:num w:numId="4" w16cid:durableId="1619335939">
    <w:abstractNumId w:val="4"/>
  </w:num>
  <w:num w:numId="5" w16cid:durableId="469521130">
    <w:abstractNumId w:val="6"/>
  </w:num>
  <w:num w:numId="6" w16cid:durableId="177669261">
    <w:abstractNumId w:val="0"/>
  </w:num>
  <w:num w:numId="7" w16cid:durableId="989865850">
    <w:abstractNumId w:val="5"/>
  </w:num>
  <w:num w:numId="8" w16cid:durableId="1051877720">
    <w:abstractNumId w:val="7"/>
  </w:num>
  <w:num w:numId="9" w16cid:durableId="2028211313">
    <w:abstractNumId w:val="1"/>
  </w:num>
  <w:num w:numId="10" w16cid:durableId="2103141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B40"/>
    <w:rsid w:val="004C0CBE"/>
    <w:rsid w:val="00633716"/>
    <w:rsid w:val="00A07A2E"/>
    <w:rsid w:val="00E7363A"/>
    <w:rsid w:val="00FF4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FF2B6C"/>
  <w15:docId w15:val="{D928D187-3738-CC4D-B996-685861C2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OE - Normal"/>
    <w:qFormat/>
    <w:rsid w:val="00781940"/>
    <w:pPr>
      <w:autoSpaceDE w:val="0"/>
      <w:autoSpaceDN w:val="0"/>
    </w:pPr>
  </w:style>
  <w:style w:type="paragraph" w:styleId="Heading1">
    <w:name w:val="heading 1"/>
    <w:aliases w:val="AOE - Heading 1"/>
    <w:basedOn w:val="Normal"/>
    <w:next w:val="Normal"/>
    <w:link w:val="Heading1Char"/>
    <w:uiPriority w:val="9"/>
    <w:qFormat/>
    <w:rsid w:val="00147A67"/>
    <w:pPr>
      <w:spacing w:before="240"/>
      <w:outlineLvl w:val="0"/>
    </w:pPr>
    <w:rPr>
      <w:rFonts w:ascii="Franklin Gothic Demi Cond" w:hAnsi="Franklin Gothic Demi Cond"/>
      <w:bCs/>
      <w:sz w:val="28"/>
    </w:rPr>
  </w:style>
  <w:style w:type="paragraph" w:styleId="Heading2">
    <w:name w:val="heading 2"/>
    <w:aliases w:val="AOE - Heading 2"/>
    <w:basedOn w:val="Heading1"/>
    <w:next w:val="Normal"/>
    <w:link w:val="Heading2Char"/>
    <w:uiPriority w:val="9"/>
    <w:semiHidden/>
    <w:unhideWhenUsed/>
    <w:qFormat/>
    <w:rsid w:val="008A0832"/>
    <w:pPr>
      <w:outlineLvl w:val="1"/>
    </w:pPr>
    <w:rPr>
      <w:rFonts w:ascii="Franklin Gothic Demi" w:hAnsi="Franklin Gothic Demi"/>
      <w:sz w:val="24"/>
    </w:rPr>
  </w:style>
  <w:style w:type="paragraph" w:styleId="Heading3">
    <w:name w:val="heading 3"/>
    <w:aliases w:val="AOE Heading 3"/>
    <w:basedOn w:val="Heading2"/>
    <w:next w:val="Normal"/>
    <w:link w:val="Heading3Char"/>
    <w:uiPriority w:val="9"/>
    <w:semiHidden/>
    <w:unhideWhenUsed/>
    <w:qFormat/>
    <w:rsid w:val="008A0832"/>
    <w:pPr>
      <w:ind w:left="720"/>
      <w:outlineLvl w:val="2"/>
    </w:pPr>
  </w:style>
  <w:style w:type="paragraph" w:styleId="Heading4">
    <w:name w:val="heading 4"/>
    <w:aliases w:val="AOE Heading 4"/>
    <w:basedOn w:val="Heading3"/>
    <w:next w:val="Normal"/>
    <w:link w:val="Heading4Char"/>
    <w:uiPriority w:val="9"/>
    <w:semiHidden/>
    <w:unhideWhenUsed/>
    <w:qFormat/>
    <w:rsid w:val="004460D4"/>
    <w:pPr>
      <w:keepNext/>
      <w:keepLines/>
      <w:spacing w:before="200"/>
      <w:outlineLvl w:val="3"/>
    </w:pPr>
    <w:rPr>
      <w:rFonts w:eastAsiaTheme="majorEastAsia" w:cstheme="majorBidi"/>
      <w:bCs w:val="0"/>
      <w:i/>
      <w:iCs/>
      <w:color w:val="000000" w:themeColor="text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AOE - Title"/>
    <w:basedOn w:val="Normal"/>
    <w:next w:val="Normal"/>
    <w:link w:val="TitleChar"/>
    <w:uiPriority w:val="10"/>
    <w:qFormat/>
    <w:rsid w:val="00147A67"/>
    <w:pPr>
      <w:spacing w:before="360" w:after="240" w:line="276" w:lineRule="auto"/>
      <w:jc w:val="center"/>
    </w:pPr>
    <w:rPr>
      <w:rFonts w:ascii="Franklin Gothic Demi Cond" w:hAnsi="Franklin Gothic Demi Cond"/>
      <w:sz w:val="36"/>
    </w:rPr>
  </w:style>
  <w:style w:type="paragraph" w:styleId="Header">
    <w:name w:val="header"/>
    <w:basedOn w:val="Normal"/>
    <w:link w:val="HeaderChar"/>
    <w:uiPriority w:val="99"/>
    <w:unhideWhenUsed/>
    <w:rsid w:val="00340C0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40C04"/>
  </w:style>
  <w:style w:type="paragraph" w:styleId="Footer">
    <w:name w:val="footer"/>
    <w:basedOn w:val="Normal"/>
    <w:link w:val="FooterChar"/>
    <w:uiPriority w:val="99"/>
    <w:unhideWhenUsed/>
    <w:rsid w:val="004460D4"/>
    <w:pPr>
      <w:tabs>
        <w:tab w:val="left" w:pos="4680"/>
        <w:tab w:val="right" w:pos="9360"/>
      </w:tabs>
    </w:pPr>
    <w:rPr>
      <w:rFonts w:eastAsiaTheme="minorHAnsi" w:cstheme="minorBidi"/>
      <w:sz w:val="20"/>
    </w:rPr>
  </w:style>
  <w:style w:type="character" w:customStyle="1" w:styleId="FooterChar">
    <w:name w:val="Footer Char"/>
    <w:basedOn w:val="DefaultParagraphFont"/>
    <w:link w:val="Footer"/>
    <w:uiPriority w:val="99"/>
    <w:rsid w:val="004460D4"/>
    <w:rPr>
      <w:rFonts w:ascii="Palatino Linotype" w:hAnsi="Palatino Linotype"/>
      <w:bCs/>
      <w:sz w:val="20"/>
    </w:rPr>
  </w:style>
  <w:style w:type="paragraph" w:styleId="BalloonText">
    <w:name w:val="Balloon Text"/>
    <w:basedOn w:val="Normal"/>
    <w:link w:val="BalloonTextChar"/>
    <w:uiPriority w:val="99"/>
    <w:semiHidden/>
    <w:unhideWhenUsed/>
    <w:rsid w:val="00340C0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40C04"/>
    <w:rPr>
      <w:rFonts w:ascii="Tahoma" w:hAnsi="Tahoma" w:cs="Tahoma"/>
      <w:sz w:val="16"/>
      <w:szCs w:val="16"/>
    </w:rPr>
  </w:style>
  <w:style w:type="character" w:styleId="Hyperlink">
    <w:name w:val="Hyperlink"/>
    <w:basedOn w:val="DefaultParagraphFont"/>
    <w:uiPriority w:val="99"/>
    <w:unhideWhenUsed/>
    <w:rsid w:val="0087647A"/>
    <w:rPr>
      <w:rFonts w:cs="Times New Roman"/>
      <w:color w:val="0000FF" w:themeColor="hyperlink"/>
      <w:u w:val="single"/>
    </w:rPr>
  </w:style>
  <w:style w:type="character" w:styleId="FollowedHyperlink">
    <w:name w:val="FollowedHyperlink"/>
    <w:basedOn w:val="DefaultParagraphFont"/>
    <w:uiPriority w:val="99"/>
    <w:semiHidden/>
    <w:unhideWhenUsed/>
    <w:rsid w:val="0087647A"/>
    <w:rPr>
      <w:rFonts w:cs="Times New Roman"/>
      <w:color w:val="800080" w:themeColor="followedHyperlink"/>
      <w:u w:val="single"/>
    </w:rPr>
  </w:style>
  <w:style w:type="paragraph" w:styleId="ListParagraph">
    <w:name w:val="List Paragraph"/>
    <w:basedOn w:val="Normal"/>
    <w:link w:val="ListParagraphChar"/>
    <w:uiPriority w:val="34"/>
    <w:qFormat/>
    <w:rsid w:val="0087647A"/>
    <w:pPr>
      <w:spacing w:after="200" w:line="276" w:lineRule="auto"/>
      <w:ind w:left="720"/>
      <w:contextualSpacing/>
    </w:pPr>
    <w:rPr>
      <w:rFonts w:asciiTheme="minorHAnsi" w:eastAsiaTheme="minorEastAsia" w:hAnsiTheme="minorHAnsi"/>
    </w:rPr>
  </w:style>
  <w:style w:type="character" w:styleId="Strong">
    <w:name w:val="Strong"/>
    <w:basedOn w:val="DefaultParagraphFont"/>
    <w:uiPriority w:val="22"/>
    <w:rsid w:val="00575711"/>
    <w:rPr>
      <w:b/>
      <w:bCs/>
    </w:rPr>
  </w:style>
  <w:style w:type="table" w:styleId="TableGrid">
    <w:name w:val="Table Grid"/>
    <w:basedOn w:val="TableNormal"/>
    <w:uiPriority w:val="39"/>
    <w:rsid w:val="00937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C1F88"/>
    <w:rPr>
      <w:color w:val="808080"/>
    </w:rPr>
  </w:style>
  <w:style w:type="character" w:customStyle="1" w:styleId="Heading1Char">
    <w:name w:val="Heading 1 Char"/>
    <w:aliases w:val="AOE - Heading 1 Char"/>
    <w:basedOn w:val="DefaultParagraphFont"/>
    <w:link w:val="Heading1"/>
    <w:uiPriority w:val="9"/>
    <w:rsid w:val="00147A67"/>
    <w:rPr>
      <w:rFonts w:ascii="Franklin Gothic Demi Cond" w:eastAsia="Times New Roman" w:hAnsi="Franklin Gothic Demi Cond" w:cs="Calibri"/>
      <w:sz w:val="28"/>
    </w:rPr>
  </w:style>
  <w:style w:type="character" w:customStyle="1" w:styleId="TitleChar">
    <w:name w:val="Title Char"/>
    <w:aliases w:val="AOE - Title Char"/>
    <w:basedOn w:val="DefaultParagraphFont"/>
    <w:link w:val="Title"/>
    <w:uiPriority w:val="10"/>
    <w:rsid w:val="00147A67"/>
    <w:rPr>
      <w:rFonts w:ascii="Franklin Gothic Demi Cond" w:eastAsia="Times New Roman" w:hAnsi="Franklin Gothic Demi Cond" w:cs="Calibri"/>
      <w:bCs/>
      <w:sz w:val="36"/>
    </w:rPr>
  </w:style>
  <w:style w:type="paragraph" w:customStyle="1" w:styleId="AOE-Header">
    <w:name w:val="AOE - Header"/>
    <w:basedOn w:val="Normal"/>
    <w:link w:val="AOE-HeaderChar"/>
    <w:rsid w:val="004062C7"/>
    <w:pPr>
      <w:jc w:val="center"/>
    </w:pPr>
    <w:rPr>
      <w:noProof/>
    </w:rPr>
  </w:style>
  <w:style w:type="character" w:customStyle="1" w:styleId="Heading2Char">
    <w:name w:val="Heading 2 Char"/>
    <w:aliases w:val="AOE - Heading 2 Char"/>
    <w:basedOn w:val="DefaultParagraphFont"/>
    <w:link w:val="Heading2"/>
    <w:uiPriority w:val="9"/>
    <w:rsid w:val="008A0832"/>
    <w:rPr>
      <w:rFonts w:ascii="Franklin Gothic Demi" w:eastAsia="Times New Roman" w:hAnsi="Franklin Gothic Demi" w:cs="Calibri"/>
      <w:sz w:val="24"/>
    </w:rPr>
  </w:style>
  <w:style w:type="character" w:customStyle="1" w:styleId="AOE-HeaderChar">
    <w:name w:val="AOE - Header Char"/>
    <w:basedOn w:val="DefaultParagraphFont"/>
    <w:link w:val="AOE-Header"/>
    <w:rsid w:val="004062C7"/>
    <w:rPr>
      <w:rFonts w:ascii="Palatino Linotype" w:eastAsia="Times New Roman" w:hAnsi="Palatino Linotype" w:cs="Calibri"/>
      <w:bCs/>
      <w:noProof/>
    </w:rPr>
  </w:style>
  <w:style w:type="character" w:customStyle="1" w:styleId="Heading3Char">
    <w:name w:val="Heading 3 Char"/>
    <w:aliases w:val="AOE Heading 3 Char"/>
    <w:basedOn w:val="DefaultParagraphFont"/>
    <w:link w:val="Heading3"/>
    <w:uiPriority w:val="9"/>
    <w:rsid w:val="008A0832"/>
    <w:rPr>
      <w:rFonts w:ascii="Franklin Gothic Demi" w:eastAsia="Times New Roman" w:hAnsi="Franklin Gothic Demi" w:cs="Calibri"/>
      <w:sz w:val="24"/>
    </w:rPr>
  </w:style>
  <w:style w:type="character" w:customStyle="1" w:styleId="Heading4Char">
    <w:name w:val="Heading 4 Char"/>
    <w:aliases w:val="AOE Heading 4 Char"/>
    <w:basedOn w:val="DefaultParagraphFont"/>
    <w:link w:val="Heading4"/>
    <w:uiPriority w:val="9"/>
    <w:rsid w:val="004460D4"/>
    <w:rPr>
      <w:rFonts w:ascii="Franklin Gothic Demi" w:eastAsiaTheme="majorEastAsia" w:hAnsi="Franklin Gothic Demi" w:cstheme="majorBidi"/>
      <w:bCs/>
      <w:i/>
      <w:iCs/>
      <w:color w:val="000000" w:themeColor="text1"/>
      <w:sz w:val="24"/>
    </w:rPr>
  </w:style>
  <w:style w:type="paragraph" w:customStyle="1" w:styleId="AOEBulletedList">
    <w:name w:val="AOE Bulleted List"/>
    <w:basedOn w:val="ListParagraph"/>
    <w:link w:val="AOEBulletedListChar"/>
    <w:qFormat/>
    <w:rsid w:val="008A0832"/>
    <w:pPr>
      <w:numPr>
        <w:numId w:val="9"/>
      </w:numPr>
      <w:spacing w:line="252" w:lineRule="auto"/>
    </w:pPr>
    <w:rPr>
      <w:rFonts w:ascii="Palatino Linotype" w:hAnsi="Palatino Linotype"/>
    </w:rPr>
  </w:style>
  <w:style w:type="character" w:customStyle="1" w:styleId="ListParagraphChar">
    <w:name w:val="List Paragraph Char"/>
    <w:basedOn w:val="DefaultParagraphFont"/>
    <w:link w:val="ListParagraph"/>
    <w:uiPriority w:val="34"/>
    <w:rsid w:val="00B04C63"/>
    <w:rPr>
      <w:rFonts w:eastAsiaTheme="minorEastAsia" w:cs="Calibri"/>
      <w:bCs/>
    </w:rPr>
  </w:style>
  <w:style w:type="character" w:customStyle="1" w:styleId="AOEBulletedListChar">
    <w:name w:val="AOE Bulleted List Char"/>
    <w:basedOn w:val="ListParagraphChar"/>
    <w:link w:val="AOEBulletedList"/>
    <w:rsid w:val="008A0832"/>
    <w:rPr>
      <w:rFonts w:ascii="Palatino Linotype" w:eastAsiaTheme="minorEastAsia" w:hAnsi="Palatino Linotype" w:cs="Calibri"/>
      <w:bCs/>
    </w:rPr>
  </w:style>
  <w:style w:type="paragraph" w:customStyle="1" w:styleId="AOENumberedList">
    <w:name w:val="AOE Numbered List"/>
    <w:basedOn w:val="AOEBulletedList"/>
    <w:link w:val="AOENumberedListChar"/>
    <w:qFormat/>
    <w:rsid w:val="008A0832"/>
    <w:pPr>
      <w:numPr>
        <w:numId w:val="0"/>
      </w:numPr>
      <w:tabs>
        <w:tab w:val="num" w:pos="720"/>
      </w:tabs>
      <w:ind w:left="720" w:hanging="720"/>
    </w:pPr>
  </w:style>
  <w:style w:type="character" w:customStyle="1" w:styleId="AOENumberedListChar">
    <w:name w:val="AOE Numbered List Char"/>
    <w:basedOn w:val="AOEBulletedListChar"/>
    <w:link w:val="AOENumberedList"/>
    <w:rsid w:val="008A0832"/>
    <w:rPr>
      <w:rFonts w:ascii="Palatino Linotype" w:eastAsiaTheme="minorEastAsia" w:hAnsi="Palatino Linotype" w:cs="Calibri"/>
      <w:bCs w:val="0"/>
    </w:rPr>
  </w:style>
  <w:style w:type="character" w:customStyle="1" w:styleId="UnresolvedMention1">
    <w:name w:val="Unresolved Mention1"/>
    <w:basedOn w:val="DefaultParagraphFont"/>
    <w:uiPriority w:val="99"/>
    <w:semiHidden/>
    <w:unhideWhenUsed/>
    <w:rsid w:val="004D1880"/>
    <w:rPr>
      <w:color w:val="605E5C"/>
      <w:shd w:val="clear" w:color="auto" w:fill="E1DFDD"/>
    </w:rPr>
  </w:style>
  <w:style w:type="paragraph" w:styleId="BodyText">
    <w:name w:val="Body Text"/>
    <w:basedOn w:val="Normal"/>
    <w:link w:val="BodyTextChar"/>
    <w:uiPriority w:val="1"/>
    <w:qFormat/>
    <w:rsid w:val="00147A67"/>
    <w:rPr>
      <w:rFonts w:ascii="Times New Roman" w:hAnsi="Times New Roman" w:cs="Times New Roman"/>
      <w:b/>
      <w:sz w:val="24"/>
      <w:szCs w:val="24"/>
    </w:rPr>
  </w:style>
  <w:style w:type="character" w:customStyle="1" w:styleId="BodyTextChar">
    <w:name w:val="Body Text Char"/>
    <w:basedOn w:val="DefaultParagraphFont"/>
    <w:link w:val="BodyText"/>
    <w:rsid w:val="00147A67"/>
    <w:rPr>
      <w:rFonts w:ascii="Times New Roman" w:eastAsia="Times New Roman" w:hAnsi="Times New Roman" w:cs="Times New Roman"/>
      <w:b/>
      <w:bCs/>
      <w:sz w:val="24"/>
      <w:szCs w:val="24"/>
    </w:rPr>
  </w:style>
  <w:style w:type="paragraph" w:customStyle="1" w:styleId="TableParagraph">
    <w:name w:val="Table Paragraph"/>
    <w:basedOn w:val="Normal"/>
    <w:uiPriority w:val="1"/>
    <w:qFormat/>
    <w:rsid w:val="00781940"/>
    <w:pPr>
      <w:ind w:left="103"/>
    </w:pPr>
  </w:style>
  <w:style w:type="character" w:styleId="CommentReference">
    <w:name w:val="annotation reference"/>
    <w:basedOn w:val="DefaultParagraphFont"/>
    <w:uiPriority w:val="99"/>
    <w:semiHidden/>
    <w:unhideWhenUsed/>
    <w:rsid w:val="00781940"/>
    <w:rPr>
      <w:sz w:val="16"/>
      <w:szCs w:val="16"/>
    </w:rPr>
  </w:style>
  <w:style w:type="paragraph" w:styleId="CommentText">
    <w:name w:val="annotation text"/>
    <w:basedOn w:val="Normal"/>
    <w:link w:val="CommentTextChar"/>
    <w:uiPriority w:val="99"/>
    <w:unhideWhenUsed/>
    <w:rsid w:val="00781940"/>
    <w:rPr>
      <w:sz w:val="20"/>
      <w:szCs w:val="20"/>
    </w:rPr>
  </w:style>
  <w:style w:type="character" w:customStyle="1" w:styleId="CommentTextChar">
    <w:name w:val="Comment Text Char"/>
    <w:basedOn w:val="DefaultParagraphFont"/>
    <w:link w:val="CommentText"/>
    <w:uiPriority w:val="99"/>
    <w:rsid w:val="00781940"/>
    <w:rPr>
      <w:rFonts w:ascii="Palatino Linotype" w:eastAsia="Palatino Linotype" w:hAnsi="Palatino Linotype" w:cs="Palatino Linotype"/>
      <w:sz w:val="20"/>
      <w:szCs w:val="20"/>
    </w:rPr>
  </w:style>
  <w:style w:type="paragraph" w:styleId="NoSpacing">
    <w:name w:val="No Spacing"/>
    <w:uiPriority w:val="1"/>
    <w:rsid w:val="006409E1"/>
    <w:pPr>
      <w:autoSpaceDE w:val="0"/>
      <w:autoSpaceDN w:val="0"/>
    </w:pPr>
  </w:style>
  <w:style w:type="character" w:styleId="Emphasis">
    <w:name w:val="Emphasis"/>
    <w:basedOn w:val="DefaultParagraphFont"/>
    <w:uiPriority w:val="20"/>
    <w:rsid w:val="006409E1"/>
    <w:rPr>
      <w:i/>
      <w:iCs/>
    </w:rPr>
  </w:style>
  <w:style w:type="paragraph" w:styleId="CommentSubject">
    <w:name w:val="annotation subject"/>
    <w:basedOn w:val="CommentText"/>
    <w:next w:val="CommentText"/>
    <w:link w:val="CommentSubjectChar"/>
    <w:uiPriority w:val="99"/>
    <w:semiHidden/>
    <w:unhideWhenUsed/>
    <w:rsid w:val="00C950C5"/>
    <w:rPr>
      <w:b/>
      <w:bCs/>
    </w:rPr>
  </w:style>
  <w:style w:type="character" w:customStyle="1" w:styleId="CommentSubjectChar">
    <w:name w:val="Comment Subject Char"/>
    <w:basedOn w:val="CommentTextChar"/>
    <w:link w:val="CommentSubject"/>
    <w:uiPriority w:val="99"/>
    <w:semiHidden/>
    <w:rsid w:val="00C950C5"/>
    <w:rPr>
      <w:rFonts w:ascii="Palatino Linotype" w:eastAsia="Palatino Linotype" w:hAnsi="Palatino Linotype" w:cs="Palatino Linotype"/>
      <w:b/>
      <w:bCs/>
      <w:sz w:val="20"/>
      <w:szCs w:val="20"/>
    </w:rPr>
  </w:style>
  <w:style w:type="paragraph" w:styleId="Revision">
    <w:name w:val="Revision"/>
    <w:hidden/>
    <w:uiPriority w:val="99"/>
    <w:semiHidden/>
    <w:rsid w:val="00B14E16"/>
  </w:style>
  <w:style w:type="paragraph" w:styleId="NormalWeb">
    <w:name w:val="Normal (Web)"/>
    <w:basedOn w:val="Normal"/>
    <w:uiPriority w:val="99"/>
    <w:semiHidden/>
    <w:unhideWhenUsed/>
    <w:rsid w:val="0015303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29" w:type="dxa"/>
        <w:left w:w="115" w:type="dxa"/>
        <w:right w:w="115" w:type="dxa"/>
      </w:tblCellMar>
    </w:tblPr>
  </w:style>
  <w:style w:type="table" w:customStyle="1" w:styleId="a5">
    <w:basedOn w:val="TableNormal"/>
    <w:tblPr>
      <w:tblStyleRowBandSize w:val="1"/>
      <w:tblStyleColBandSize w:val="1"/>
      <w:tblCellMar>
        <w:top w:w="29" w:type="dxa"/>
        <w:left w:w="115" w:type="dxa"/>
        <w:right w:w="115" w:type="dxa"/>
      </w:tblCellMar>
    </w:tblPr>
  </w:style>
  <w:style w:type="table" w:customStyle="1" w:styleId="a6">
    <w:basedOn w:val="TableNormal"/>
    <w:tblPr>
      <w:tblStyleRowBandSize w:val="1"/>
      <w:tblStyleColBandSize w:val="1"/>
      <w:tblCellMar>
        <w:top w:w="29" w:type="dxa"/>
        <w:left w:w="115" w:type="dxa"/>
        <w:right w:w="115" w:type="dxa"/>
      </w:tblCellMar>
    </w:tblPr>
  </w:style>
  <w:style w:type="table" w:customStyle="1" w:styleId="a7">
    <w:basedOn w:val="TableNormal"/>
    <w:tblPr>
      <w:tblStyleRowBandSize w:val="1"/>
      <w:tblStyleColBandSize w:val="1"/>
      <w:tblCellMar>
        <w:top w:w="29" w:type="dxa"/>
        <w:left w:w="115" w:type="dxa"/>
        <w:right w:w="115" w:type="dxa"/>
      </w:tblCellMar>
    </w:tblPr>
  </w:style>
  <w:style w:type="table" w:customStyle="1" w:styleId="a8">
    <w:basedOn w:val="TableNormal"/>
    <w:tblPr>
      <w:tblStyleRowBandSize w:val="1"/>
      <w:tblStyleColBandSize w:val="1"/>
      <w:tblCellMar>
        <w:top w:w="29" w:type="dxa"/>
        <w:left w:w="115" w:type="dxa"/>
        <w:right w:w="115" w:type="dxa"/>
      </w:tblCellMar>
    </w:tblPr>
  </w:style>
  <w:style w:type="table" w:customStyle="1" w:styleId="a9">
    <w:basedOn w:val="TableNormal"/>
    <w:tblPr>
      <w:tblStyleRowBandSize w:val="1"/>
      <w:tblStyleColBandSize w:val="1"/>
      <w:tblCellMar>
        <w:top w:w="29" w:type="dxa"/>
        <w:left w:w="115" w:type="dxa"/>
        <w:right w:w="115" w:type="dxa"/>
      </w:tblCellMar>
    </w:tblPr>
  </w:style>
  <w:style w:type="table" w:customStyle="1" w:styleId="aa">
    <w:basedOn w:val="TableNormal"/>
    <w:tblPr>
      <w:tblStyleRowBandSize w:val="1"/>
      <w:tblStyleColBandSize w:val="1"/>
      <w:tblCellMar>
        <w:top w:w="29" w:type="dxa"/>
        <w:left w:w="115" w:type="dxa"/>
        <w:right w:w="115" w:type="dxa"/>
      </w:tblCellMar>
    </w:tblPr>
  </w:style>
  <w:style w:type="table" w:customStyle="1" w:styleId="ab">
    <w:basedOn w:val="TableNormal"/>
    <w:tblPr>
      <w:tblStyleRowBandSize w:val="1"/>
      <w:tblStyleColBandSize w:val="1"/>
      <w:tblCellMar>
        <w:top w:w="29" w:type="dxa"/>
        <w:left w:w="115" w:type="dxa"/>
        <w:right w:w="115" w:type="dxa"/>
      </w:tblCellMar>
    </w:tblPr>
  </w:style>
  <w:style w:type="table" w:customStyle="1" w:styleId="ac">
    <w:basedOn w:val="TableNormal"/>
    <w:tblPr>
      <w:tblStyleRowBandSize w:val="1"/>
      <w:tblStyleColBandSize w:val="1"/>
      <w:tblCellMar>
        <w:top w:w="29" w:type="dxa"/>
        <w:left w:w="115" w:type="dxa"/>
        <w:right w:w="115" w:type="dxa"/>
      </w:tblCellMar>
    </w:tblPr>
  </w:style>
  <w:style w:type="table" w:customStyle="1" w:styleId="ad">
    <w:basedOn w:val="TableNormal"/>
    <w:tblPr>
      <w:tblStyleRowBandSize w:val="1"/>
      <w:tblStyleColBandSize w:val="1"/>
      <w:tblCellMar>
        <w:top w:w="29" w:type="dxa"/>
        <w:left w:w="115" w:type="dxa"/>
        <w:right w:w="115" w:type="dxa"/>
      </w:tblCellMar>
    </w:tblPr>
  </w:style>
  <w:style w:type="table" w:customStyle="1" w:styleId="ae">
    <w:basedOn w:val="TableNormal"/>
    <w:tblPr>
      <w:tblStyleRowBandSize w:val="1"/>
      <w:tblStyleColBandSize w:val="1"/>
      <w:tblCellMar>
        <w:top w:w="29" w:type="dxa"/>
        <w:left w:w="115" w:type="dxa"/>
        <w:right w:w="115" w:type="dxa"/>
      </w:tblCellMar>
    </w:tblPr>
  </w:style>
  <w:style w:type="table" w:customStyle="1" w:styleId="af">
    <w:basedOn w:val="TableNormal"/>
    <w:tblPr>
      <w:tblStyleRowBandSize w:val="1"/>
      <w:tblStyleColBandSize w:val="1"/>
      <w:tblCellMar>
        <w:top w:w="29" w:type="dxa"/>
        <w:left w:w="115" w:type="dxa"/>
        <w:right w:w="115" w:type="dxa"/>
      </w:tblCellMar>
    </w:tblPr>
  </w:style>
  <w:style w:type="table" w:customStyle="1" w:styleId="af0">
    <w:basedOn w:val="TableNormal"/>
    <w:tblPr>
      <w:tblStyleRowBandSize w:val="1"/>
      <w:tblStyleColBandSize w:val="1"/>
      <w:tblCellMar>
        <w:top w:w="29" w:type="dxa"/>
        <w:left w:w="115" w:type="dxa"/>
        <w:right w:w="115" w:type="dxa"/>
      </w:tblCellMar>
    </w:tblPr>
  </w:style>
  <w:style w:type="table" w:customStyle="1" w:styleId="af1">
    <w:basedOn w:val="TableNormal"/>
    <w:tblPr>
      <w:tblStyleRowBandSize w:val="1"/>
      <w:tblStyleColBandSize w:val="1"/>
      <w:tblCellMar>
        <w:top w:w="29" w:type="dxa"/>
        <w:left w:w="115" w:type="dxa"/>
        <w:right w:w="115" w:type="dxa"/>
      </w:tblCellMar>
    </w:tblPr>
  </w:style>
  <w:style w:type="table" w:customStyle="1" w:styleId="af2">
    <w:basedOn w:val="TableNormal"/>
    <w:tblPr>
      <w:tblStyleRowBandSize w:val="1"/>
      <w:tblStyleColBandSize w:val="1"/>
      <w:tblCellMar>
        <w:top w:w="29" w:type="dxa"/>
        <w:left w:w="115" w:type="dxa"/>
        <w:right w:w="115" w:type="dxa"/>
      </w:tblCellMar>
    </w:tblPr>
  </w:style>
  <w:style w:type="table" w:customStyle="1" w:styleId="af3">
    <w:basedOn w:val="TableNormal"/>
    <w:tblPr>
      <w:tblStyleRowBandSize w:val="1"/>
      <w:tblStyleColBandSize w:val="1"/>
      <w:tblCellMar>
        <w:top w:w="29" w:type="dxa"/>
        <w:left w:w="115" w:type="dxa"/>
        <w:right w:w="115" w:type="dxa"/>
      </w:tblCellMar>
    </w:tblPr>
  </w:style>
  <w:style w:type="table" w:customStyle="1" w:styleId="af4">
    <w:basedOn w:val="TableNormal"/>
    <w:tblPr>
      <w:tblStyleRowBandSize w:val="1"/>
      <w:tblStyleColBandSize w:val="1"/>
      <w:tblCellMar>
        <w:top w:w="29" w:type="dxa"/>
        <w:left w:w="115" w:type="dxa"/>
        <w:right w:w="115" w:type="dxa"/>
      </w:tblCellMar>
    </w:tblPr>
  </w:style>
  <w:style w:type="table" w:customStyle="1" w:styleId="af5">
    <w:basedOn w:val="TableNormal"/>
    <w:tblPr>
      <w:tblStyleRowBandSize w:val="1"/>
      <w:tblStyleColBandSize w:val="1"/>
      <w:tblCellMar>
        <w:top w:w="29" w:type="dxa"/>
        <w:left w:w="115" w:type="dxa"/>
        <w:right w:w="115" w:type="dxa"/>
      </w:tblCellMar>
    </w:tblPr>
  </w:style>
  <w:style w:type="table" w:customStyle="1" w:styleId="af6">
    <w:basedOn w:val="TableNormal"/>
    <w:tblPr>
      <w:tblStyleRowBandSize w:val="1"/>
      <w:tblStyleColBandSize w:val="1"/>
      <w:tblCellMar>
        <w:top w:w="29" w:type="dxa"/>
        <w:left w:w="115" w:type="dxa"/>
        <w:right w:w="115" w:type="dxa"/>
      </w:tblCellMar>
    </w:tblPr>
  </w:style>
  <w:style w:type="table" w:customStyle="1" w:styleId="af7">
    <w:basedOn w:val="TableNormal"/>
    <w:tblPr>
      <w:tblStyleRowBandSize w:val="1"/>
      <w:tblStyleColBandSize w:val="1"/>
      <w:tblCellMar>
        <w:top w:w="29" w:type="dxa"/>
        <w:left w:w="115" w:type="dxa"/>
        <w:right w:w="115" w:type="dxa"/>
      </w:tblCellMar>
    </w:tblPr>
  </w:style>
  <w:style w:type="table" w:customStyle="1" w:styleId="af8">
    <w:basedOn w:val="TableNormal"/>
    <w:tblPr>
      <w:tblStyleRowBandSize w:val="1"/>
      <w:tblStyleColBandSize w:val="1"/>
      <w:tblCellMar>
        <w:top w:w="29" w:type="dxa"/>
        <w:left w:w="115" w:type="dxa"/>
        <w:right w:w="115" w:type="dxa"/>
      </w:tblCellMar>
    </w:tblPr>
  </w:style>
  <w:style w:type="table" w:customStyle="1" w:styleId="af9">
    <w:basedOn w:val="TableNormal"/>
    <w:tblPr>
      <w:tblStyleRowBandSize w:val="1"/>
      <w:tblStyleColBandSize w:val="1"/>
      <w:tblCellMar>
        <w:top w:w="29" w:type="dxa"/>
        <w:left w:w="115" w:type="dxa"/>
        <w:right w:w="115" w:type="dxa"/>
      </w:tblCellMar>
    </w:tblPr>
  </w:style>
  <w:style w:type="table" w:customStyle="1" w:styleId="afa">
    <w:basedOn w:val="TableNormal"/>
    <w:tblPr>
      <w:tblStyleRowBandSize w:val="1"/>
      <w:tblStyleColBandSize w:val="1"/>
      <w:tblCellMar>
        <w:top w:w="29" w:type="dxa"/>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ducation.vermont.gov/documents/edu-comprehensive-needs-assessment-toolk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vermont.gov/student-support/vermont-multi-tiered-system-of-supports/vtmtss-framework-too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ducation.vermont.gov/documents/education-quality-and-continuous-improvement-framework" TargetMode="External"/><Relationship Id="rId4" Type="http://schemas.openxmlformats.org/officeDocument/2006/relationships/settings" Target="settings.xml"/><Relationship Id="rId9" Type="http://schemas.openxmlformats.org/officeDocument/2006/relationships/hyperlink" Target="https://education.vermont.gov/documents/edu-cfp-data-inventory-templat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rx/Fsd98a+mYoDPC4iXqFR/1TA==">CgMxLjAyCGguZ2pkZ3hzMgloLjFmb2I5dGUyCWguM3pueXNoNzIJaC4yZXQ5MnAwMghoLnR5amN3dDIJaC4zZHk2dmttOAByITE2VDk3a2F6V2VGMnQyTFBKVVNCYURMYmJCeHpyQk9TWA==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Vermont Agency of Education</dc:creator>
  <cp:lastModifiedBy>Katie Bryant</cp:lastModifiedBy>
  <cp:revision>1</cp:revision>
  <dcterms:created xsi:type="dcterms:W3CDTF">2022-06-23T19:45:00Z</dcterms:created>
  <dcterms:modified xsi:type="dcterms:W3CDTF">2025-04-08T18:45:00Z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0x010100FFD5CA2A6723CC46B8384596C245D0B8</vt:lpwstr>
  </property>
</Properties>
</file>