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6DB" w:rsidRPr="006236DB" w:rsidRDefault="006236DB" w:rsidP="006236DB">
      <w:pPr>
        <w:spacing w:after="0" w:line="240" w:lineRule="auto"/>
        <w:jc w:val="center"/>
        <w:rPr>
          <w:rFonts w:ascii="Times New Roman" w:eastAsia="Times New Roman" w:hAnsi="Times New Roman" w:cs="Times New Roman"/>
          <w:sz w:val="24"/>
          <w:szCs w:val="24"/>
        </w:rPr>
      </w:pPr>
      <w:r w:rsidRPr="006236DB">
        <w:rPr>
          <w:rFonts w:ascii="Calibri" w:eastAsia="Times New Roman" w:hAnsi="Calibri" w:cs="Calibri"/>
          <w:b/>
          <w:bCs/>
          <w:color w:val="000000"/>
          <w:sz w:val="28"/>
          <w:szCs w:val="28"/>
          <w:u w:val="single"/>
        </w:rPr>
        <w:t>202</w:t>
      </w:r>
      <w:r>
        <w:rPr>
          <w:rFonts w:ascii="Calibri" w:eastAsia="Times New Roman" w:hAnsi="Calibri" w:cs="Calibri"/>
          <w:b/>
          <w:bCs/>
          <w:color w:val="000000"/>
          <w:sz w:val="28"/>
          <w:szCs w:val="28"/>
          <w:u w:val="single"/>
        </w:rPr>
        <w:t>5</w:t>
      </w:r>
      <w:r w:rsidRPr="006236DB">
        <w:rPr>
          <w:rFonts w:ascii="Calibri" w:eastAsia="Times New Roman" w:hAnsi="Calibri" w:cs="Calibri"/>
          <w:b/>
          <w:bCs/>
          <w:color w:val="000000"/>
          <w:sz w:val="28"/>
          <w:szCs w:val="28"/>
          <w:u w:val="single"/>
        </w:rPr>
        <w:t>-202</w:t>
      </w:r>
      <w:r>
        <w:rPr>
          <w:rFonts w:ascii="Calibri" w:eastAsia="Times New Roman" w:hAnsi="Calibri" w:cs="Calibri"/>
          <w:b/>
          <w:bCs/>
          <w:color w:val="000000"/>
          <w:sz w:val="28"/>
          <w:szCs w:val="28"/>
          <w:u w:val="single"/>
        </w:rPr>
        <w:t>6</w:t>
      </w:r>
      <w:r w:rsidRPr="006236DB">
        <w:rPr>
          <w:rFonts w:ascii="Calibri" w:eastAsia="Times New Roman" w:hAnsi="Calibri" w:cs="Calibri"/>
          <w:b/>
          <w:bCs/>
          <w:color w:val="000000"/>
          <w:sz w:val="28"/>
          <w:szCs w:val="28"/>
          <w:u w:val="single"/>
        </w:rPr>
        <w:t xml:space="preserve"> Grant Application </w:t>
      </w:r>
      <w:proofErr w:type="gramStart"/>
      <w:r w:rsidRPr="006236DB">
        <w:rPr>
          <w:rFonts w:ascii="Calibri" w:eastAsia="Times New Roman" w:hAnsi="Calibri" w:cs="Calibri"/>
          <w:b/>
          <w:bCs/>
          <w:color w:val="000000"/>
          <w:sz w:val="28"/>
          <w:szCs w:val="28"/>
          <w:u w:val="single"/>
        </w:rPr>
        <w:t>Summary</w:t>
      </w:r>
      <w:proofErr w:type="gramEnd"/>
    </w:p>
    <w:p w:rsidR="006236DB" w:rsidRPr="006236DB" w:rsidRDefault="006236DB" w:rsidP="006236DB">
      <w:pPr>
        <w:spacing w:after="0" w:line="240" w:lineRule="auto"/>
        <w:rPr>
          <w:rFonts w:ascii="Times New Roman" w:eastAsia="Times New Roman" w:hAnsi="Times New Roman" w:cs="Times New Roman"/>
          <w:sz w:val="24"/>
          <w:szCs w:val="24"/>
        </w:rPr>
      </w:pPr>
    </w:p>
    <w:p w:rsidR="006236DB" w:rsidRPr="006236DB" w:rsidRDefault="006236DB" w:rsidP="006236DB">
      <w:pPr>
        <w:spacing w:after="0" w:line="240" w:lineRule="auto"/>
        <w:rPr>
          <w:rFonts w:ascii="Times New Roman" w:eastAsia="Times New Roman" w:hAnsi="Times New Roman" w:cs="Times New Roman"/>
          <w:sz w:val="24"/>
          <w:szCs w:val="24"/>
        </w:rPr>
      </w:pPr>
      <w:r w:rsidRPr="006236DB">
        <w:rPr>
          <w:rFonts w:ascii="Calibri" w:eastAsia="Times New Roman" w:hAnsi="Calibri" w:cs="Calibri"/>
          <w:color w:val="000000"/>
          <w:sz w:val="24"/>
          <w:szCs w:val="24"/>
        </w:rPr>
        <w:t>Willis ISD will apply for the following grants underneath the 2024-2025 Every Student Succeeds Act (ESSA) Consolidated Grant Program.</w:t>
      </w:r>
    </w:p>
    <w:p w:rsidR="006236DB" w:rsidRPr="006236DB" w:rsidRDefault="006236DB" w:rsidP="006236DB">
      <w:pPr>
        <w:spacing w:after="0" w:line="240" w:lineRule="auto"/>
        <w:rPr>
          <w:rFonts w:ascii="Times New Roman" w:eastAsia="Times New Roman" w:hAnsi="Times New Roman" w:cs="Times New Roman"/>
          <w:sz w:val="24"/>
          <w:szCs w:val="24"/>
        </w:rPr>
      </w:pPr>
    </w:p>
    <w:p w:rsidR="006236DB" w:rsidRPr="006236DB" w:rsidRDefault="006236DB" w:rsidP="006236DB">
      <w:pPr>
        <w:spacing w:after="0" w:line="240" w:lineRule="auto"/>
        <w:jc w:val="both"/>
        <w:rPr>
          <w:rFonts w:ascii="Times New Roman" w:eastAsia="Times New Roman" w:hAnsi="Times New Roman" w:cs="Times New Roman"/>
          <w:sz w:val="24"/>
          <w:szCs w:val="24"/>
        </w:rPr>
      </w:pPr>
      <w:r w:rsidRPr="006236DB">
        <w:rPr>
          <w:rFonts w:ascii="Calibri" w:eastAsia="Times New Roman" w:hAnsi="Calibri" w:cs="Calibri"/>
          <w:b/>
          <w:bCs/>
          <w:color w:val="000000"/>
          <w:sz w:val="24"/>
          <w:szCs w:val="24"/>
        </w:rPr>
        <w:t>Title I, Part A</w:t>
      </w:r>
      <w:r w:rsidRPr="006236DB">
        <w:rPr>
          <w:rFonts w:ascii="Calibri" w:eastAsia="Times New Roman" w:hAnsi="Calibri" w:cs="Calibri"/>
          <w:color w:val="000000"/>
          <w:sz w:val="24"/>
          <w:szCs w:val="24"/>
        </w:rPr>
        <w:t xml:space="preserve"> – Every Student Succeeds Act (ESSA) funds are designated to help to meet the educational needs of students in Tit</w:t>
      </w:r>
      <w:bookmarkStart w:id="0" w:name="_GoBack"/>
      <w:bookmarkEnd w:id="0"/>
      <w:r w:rsidRPr="006236DB">
        <w:rPr>
          <w:rFonts w:ascii="Calibri" w:eastAsia="Times New Roman" w:hAnsi="Calibri" w:cs="Calibri"/>
          <w:color w:val="000000"/>
          <w:sz w:val="24"/>
          <w:szCs w:val="24"/>
        </w:rPr>
        <w:t>le I schools. Funds are used to support effective, evidence-based educational strategies that close the achievement gap and enable the students to meet the state's challenging academic standards. Our LEA’s preliminary plan includes using these funds for supplemental staff salaries, supplemental supplies and materials, staff development opportunities and parent engagement activities.</w:t>
      </w:r>
    </w:p>
    <w:p w:rsidR="006236DB" w:rsidRPr="006236DB" w:rsidRDefault="006236DB" w:rsidP="006236DB">
      <w:pPr>
        <w:spacing w:after="0" w:line="240" w:lineRule="auto"/>
        <w:rPr>
          <w:rFonts w:ascii="Times New Roman" w:eastAsia="Times New Roman" w:hAnsi="Times New Roman" w:cs="Times New Roman"/>
          <w:sz w:val="24"/>
          <w:szCs w:val="24"/>
        </w:rPr>
      </w:pPr>
    </w:p>
    <w:p w:rsidR="006236DB" w:rsidRPr="006236DB" w:rsidRDefault="006236DB" w:rsidP="006236DB">
      <w:pPr>
        <w:spacing w:after="0" w:line="240" w:lineRule="auto"/>
        <w:jc w:val="both"/>
        <w:rPr>
          <w:rFonts w:ascii="Times New Roman" w:eastAsia="Times New Roman" w:hAnsi="Times New Roman" w:cs="Times New Roman"/>
          <w:sz w:val="24"/>
          <w:szCs w:val="24"/>
        </w:rPr>
      </w:pPr>
      <w:r w:rsidRPr="006236DB">
        <w:rPr>
          <w:rFonts w:ascii="Calibri" w:eastAsia="Times New Roman" w:hAnsi="Calibri" w:cs="Calibri"/>
          <w:b/>
          <w:bCs/>
          <w:color w:val="000000"/>
          <w:sz w:val="24"/>
          <w:szCs w:val="24"/>
        </w:rPr>
        <w:t>Title II, Part A</w:t>
      </w:r>
      <w:r w:rsidRPr="006236DB">
        <w:rPr>
          <w:rFonts w:ascii="Calibri" w:eastAsia="Times New Roman" w:hAnsi="Calibri" w:cs="Calibri"/>
          <w:color w:val="000000"/>
          <w:sz w:val="24"/>
          <w:szCs w:val="24"/>
        </w:rPr>
        <w:t xml:space="preserve"> – Teacher and Principal Training and Recruiting Funds (TPTR) funds are designated to supplement staff development in district/campus priority areas, enhance recruiting, hiring, and retention of highly qualified teachers and improve the quality of our principal, teacher, and paraprofessional workforce through staff development. Our LEA’s preliminary plan includes using these funds for staff development opportunities and recruitment needs.</w:t>
      </w:r>
    </w:p>
    <w:p w:rsidR="006236DB" w:rsidRPr="006236DB" w:rsidRDefault="006236DB" w:rsidP="006236DB">
      <w:pPr>
        <w:spacing w:after="0" w:line="240" w:lineRule="auto"/>
        <w:rPr>
          <w:rFonts w:ascii="Times New Roman" w:eastAsia="Times New Roman" w:hAnsi="Times New Roman" w:cs="Times New Roman"/>
          <w:sz w:val="24"/>
          <w:szCs w:val="24"/>
        </w:rPr>
      </w:pPr>
    </w:p>
    <w:p w:rsidR="006236DB" w:rsidRPr="006236DB" w:rsidRDefault="006236DB" w:rsidP="006236DB">
      <w:pPr>
        <w:spacing w:after="0" w:line="240" w:lineRule="auto"/>
        <w:jc w:val="both"/>
        <w:rPr>
          <w:rFonts w:ascii="Times New Roman" w:eastAsia="Times New Roman" w:hAnsi="Times New Roman" w:cs="Times New Roman"/>
          <w:sz w:val="24"/>
          <w:szCs w:val="24"/>
        </w:rPr>
      </w:pPr>
      <w:r w:rsidRPr="006236DB">
        <w:rPr>
          <w:rFonts w:ascii="Calibri" w:eastAsia="Times New Roman" w:hAnsi="Calibri" w:cs="Calibri"/>
          <w:b/>
          <w:bCs/>
          <w:color w:val="000000"/>
          <w:sz w:val="24"/>
          <w:szCs w:val="24"/>
        </w:rPr>
        <w:t>Title III, Part A</w:t>
      </w:r>
      <w:r w:rsidRPr="006236DB">
        <w:rPr>
          <w:rFonts w:ascii="Calibri" w:eastAsia="Times New Roman" w:hAnsi="Calibri" w:cs="Calibri"/>
          <w:color w:val="000000"/>
          <w:sz w:val="24"/>
          <w:szCs w:val="24"/>
        </w:rPr>
        <w:t xml:space="preserve"> – English Language Acquisition, Language Enhancement, and Academic Achievement Act is designed to improve the education of English learners (ELs) by helping them learn English and meet challenging state academic content and student academic achievement standards. Title III supplements the LEA’s basic, core English Learner program, which is scientifically based and effective in increasing English language proficiency. Our LEA’s preliminary plan includes using these funds for supplemental staff salaries, supplemental supplies and materials, and staff development opportunities and parent engagement activities.</w:t>
      </w:r>
    </w:p>
    <w:p w:rsidR="006236DB" w:rsidRDefault="006236DB" w:rsidP="006236DB">
      <w:pPr>
        <w:jc w:val="both"/>
        <w:rPr>
          <w:rFonts w:ascii="Calibri" w:eastAsia="Times New Roman" w:hAnsi="Calibri" w:cs="Calibri"/>
          <w:color w:val="000000"/>
          <w:sz w:val="24"/>
          <w:szCs w:val="24"/>
        </w:rPr>
      </w:pPr>
      <w:r w:rsidRPr="006236DB">
        <w:rPr>
          <w:rFonts w:ascii="Times New Roman" w:eastAsia="Times New Roman" w:hAnsi="Times New Roman" w:cs="Times New Roman"/>
          <w:sz w:val="24"/>
          <w:szCs w:val="24"/>
        </w:rPr>
        <w:br/>
      </w:r>
      <w:r w:rsidRPr="006236DB">
        <w:rPr>
          <w:rFonts w:ascii="Calibri" w:eastAsia="Times New Roman" w:hAnsi="Calibri" w:cs="Calibri"/>
          <w:b/>
          <w:bCs/>
          <w:color w:val="000000"/>
          <w:sz w:val="24"/>
          <w:szCs w:val="24"/>
        </w:rPr>
        <w:t>Title IV, Part A</w:t>
      </w:r>
      <w:r w:rsidRPr="006236DB">
        <w:rPr>
          <w:rFonts w:ascii="Calibri" w:eastAsia="Times New Roman" w:hAnsi="Calibri" w:cs="Calibri"/>
          <w:color w:val="000000"/>
          <w:sz w:val="24"/>
          <w:szCs w:val="24"/>
        </w:rPr>
        <w:t xml:space="preserve"> – Student Support and Academic Enrichment (SSAE) The overarching goal of Title IV, Part A, is to increase the capacity of state education agencies, local educational agencies (LEAs), campuses, and communities to meet the following three goals: Provide all students access to a well-rounded education, improve academic outcomes by maintaining safe and healthy students and to improve the use of technology to advance student academic achievement. Our LEA’s preliminary plan includes using these funds for staff development opportunities, supplemental supplies and materials, summer camps in STEM and Fine Arts, GT and Academic Enrichment programs, and technology integration in the classroom. These funds are able to support district-wide programs that go above and beyond the standard education requirements set by TEA and the LEA.</w:t>
      </w:r>
    </w:p>
    <w:p w:rsidR="006236DB" w:rsidRDefault="006236DB" w:rsidP="006236DB">
      <w:pPr>
        <w:jc w:val="both"/>
        <w:rPr>
          <w:rFonts w:ascii="Calibri" w:eastAsia="Times New Roman" w:hAnsi="Calibri" w:cs="Calibri"/>
          <w:color w:val="000000"/>
          <w:sz w:val="24"/>
          <w:szCs w:val="24"/>
        </w:rPr>
      </w:pPr>
    </w:p>
    <w:p w:rsidR="006236DB" w:rsidRDefault="006236DB" w:rsidP="006236DB">
      <w:pPr>
        <w:jc w:val="both"/>
        <w:rPr>
          <w:rFonts w:ascii="Calibri" w:eastAsia="Times New Roman" w:hAnsi="Calibri" w:cs="Calibri"/>
          <w:color w:val="000000"/>
          <w:sz w:val="24"/>
          <w:szCs w:val="24"/>
        </w:rPr>
      </w:pPr>
    </w:p>
    <w:p w:rsidR="006236DB" w:rsidRPr="006236DB" w:rsidRDefault="006236DB" w:rsidP="006236DB">
      <w:pPr>
        <w:jc w:val="center"/>
        <w:rPr>
          <w:b/>
          <w:sz w:val="24"/>
          <w:szCs w:val="24"/>
          <w:u w:val="single"/>
          <w:lang w:val="es-MX"/>
        </w:rPr>
      </w:pPr>
      <w:r w:rsidRPr="006236DB">
        <w:rPr>
          <w:b/>
          <w:sz w:val="24"/>
          <w:szCs w:val="24"/>
          <w:u w:val="single"/>
          <w:lang w:val="es-MX"/>
        </w:rPr>
        <w:lastRenderedPageBreak/>
        <w:t>Resúmen de la solicitud de Subsidios 2024-2025</w:t>
      </w:r>
    </w:p>
    <w:p w:rsidR="006236DB" w:rsidRPr="006236DB" w:rsidRDefault="006236DB" w:rsidP="006236DB">
      <w:pPr>
        <w:jc w:val="both"/>
        <w:rPr>
          <w:sz w:val="20"/>
          <w:szCs w:val="20"/>
          <w:lang w:val="es-MX"/>
        </w:rPr>
      </w:pPr>
      <w:r w:rsidRPr="006236DB">
        <w:rPr>
          <w:sz w:val="20"/>
          <w:szCs w:val="20"/>
          <w:lang w:val="es-MX"/>
        </w:rPr>
        <w:t>Willis ISD solicitará los siguientes subsidios bajo el Programa de Subsidios Consolidados 2024-2025 de la Ley Cada Estudiante Triunfa (ESSA).</w:t>
      </w:r>
    </w:p>
    <w:p w:rsidR="006236DB" w:rsidRPr="006236DB" w:rsidRDefault="006236DB" w:rsidP="006236DB">
      <w:pPr>
        <w:jc w:val="both"/>
        <w:rPr>
          <w:sz w:val="20"/>
          <w:szCs w:val="20"/>
          <w:lang w:val="es-MX"/>
        </w:rPr>
      </w:pPr>
      <w:r w:rsidRPr="006236DB">
        <w:rPr>
          <w:b/>
          <w:sz w:val="20"/>
          <w:szCs w:val="20"/>
          <w:lang w:val="es-MX"/>
        </w:rPr>
        <w:t>Título I</w:t>
      </w:r>
      <w:r w:rsidRPr="006236DB">
        <w:rPr>
          <w:sz w:val="20"/>
          <w:szCs w:val="20"/>
          <w:lang w:val="es-MX"/>
        </w:rPr>
        <w:t xml:space="preserve">, </w:t>
      </w:r>
      <w:r w:rsidRPr="006236DB">
        <w:rPr>
          <w:b/>
          <w:sz w:val="20"/>
          <w:szCs w:val="20"/>
          <w:lang w:val="es-MX"/>
        </w:rPr>
        <w:t>Parte A</w:t>
      </w:r>
      <w:r w:rsidRPr="006236DB">
        <w:rPr>
          <w:sz w:val="20"/>
          <w:szCs w:val="20"/>
          <w:lang w:val="es-MX"/>
        </w:rPr>
        <w:t xml:space="preserve"> - Los fondos de la </w:t>
      </w:r>
      <w:r w:rsidRPr="006236DB">
        <w:rPr>
          <w:b/>
          <w:sz w:val="20"/>
          <w:szCs w:val="20"/>
          <w:lang w:val="es-MX"/>
        </w:rPr>
        <w:t>Ley Cada Estudiante Triunfa (ESSA</w:t>
      </w:r>
      <w:r w:rsidRPr="006236DB">
        <w:rPr>
          <w:sz w:val="20"/>
          <w:szCs w:val="20"/>
          <w:lang w:val="es-MX"/>
        </w:rPr>
        <w:t>) están designados para ayudar a satisfacer las necesidades educativas de los estudiantes en las escuelas de Título I.  Estos fondos se utilizan para apoyar estrategias educativas eficaces, basadas en la evidencia que cierran la brecha de rendimiento y permiten a los estudiantes cumplir con los estándares académicos desafiantes del estado. El plan preliminar de nuestra (LEA) Agencias Educativas Locales por sus siglas en inglés, incluye el uso de estos fondos para salarios adicionales del personal, suministros y materiales adicionales, oportunidades de desarrollo del personal y actividades de participación de los padres de familia.</w:t>
      </w:r>
    </w:p>
    <w:p w:rsidR="006236DB" w:rsidRPr="006236DB" w:rsidRDefault="006236DB" w:rsidP="006236DB">
      <w:pPr>
        <w:jc w:val="both"/>
        <w:rPr>
          <w:sz w:val="20"/>
          <w:szCs w:val="20"/>
          <w:lang w:val="es-MX"/>
        </w:rPr>
      </w:pPr>
      <w:r w:rsidRPr="006236DB">
        <w:rPr>
          <w:b/>
          <w:sz w:val="20"/>
          <w:szCs w:val="20"/>
          <w:lang w:val="es-MX"/>
        </w:rPr>
        <w:t>Título</w:t>
      </w:r>
      <w:r w:rsidRPr="006236DB">
        <w:rPr>
          <w:b/>
          <w:sz w:val="20"/>
          <w:szCs w:val="20"/>
          <w:lang w:val="es-MX"/>
        </w:rPr>
        <w:t xml:space="preserve"> II</w:t>
      </w:r>
      <w:r w:rsidRPr="006236DB">
        <w:rPr>
          <w:sz w:val="20"/>
          <w:szCs w:val="20"/>
          <w:lang w:val="es-MX"/>
        </w:rPr>
        <w:t xml:space="preserve">, </w:t>
      </w:r>
      <w:r w:rsidRPr="006236DB">
        <w:rPr>
          <w:b/>
          <w:sz w:val="20"/>
          <w:szCs w:val="20"/>
          <w:lang w:val="es-MX"/>
        </w:rPr>
        <w:t>Parte A</w:t>
      </w:r>
      <w:r w:rsidRPr="006236DB">
        <w:rPr>
          <w:sz w:val="20"/>
          <w:szCs w:val="20"/>
          <w:lang w:val="es-MX"/>
        </w:rPr>
        <w:t>: Fondos</w:t>
      </w:r>
      <w:r w:rsidRPr="006236DB">
        <w:rPr>
          <w:sz w:val="20"/>
          <w:szCs w:val="20"/>
          <w:lang w:val="es-MX"/>
        </w:rPr>
        <w:t xml:space="preserve"> de Reclutamiento y Capacitación </w:t>
      </w:r>
      <w:r w:rsidRPr="006236DB">
        <w:rPr>
          <w:sz w:val="20"/>
          <w:szCs w:val="20"/>
          <w:lang w:val="es-MX"/>
        </w:rPr>
        <w:t>a</w:t>
      </w:r>
      <w:r w:rsidRPr="006236DB">
        <w:rPr>
          <w:sz w:val="20"/>
          <w:szCs w:val="20"/>
          <w:lang w:val="es-MX"/>
        </w:rPr>
        <w:t xml:space="preserve"> Maestros y Directores (TPTR, por sus siglas en Inglés) Estos fondos están designados para fomentar el desarrollo del personal en áreas que son prioridad en el distrito/escuela.  Mejorar el reclutamiento, la contratación y la retención de maestros altamente calificados y mejorar la calidad de la fuerza laboral de nuestros directores, maestros y paraprofessionales a </w:t>
      </w:r>
      <w:r w:rsidRPr="006236DB">
        <w:rPr>
          <w:sz w:val="20"/>
          <w:szCs w:val="20"/>
          <w:lang w:val="es-MX"/>
        </w:rPr>
        <w:t>través</w:t>
      </w:r>
      <w:r w:rsidRPr="006236DB">
        <w:rPr>
          <w:sz w:val="20"/>
          <w:szCs w:val="20"/>
          <w:lang w:val="es-MX"/>
        </w:rPr>
        <w:t xml:space="preserve"> del desarrollo personal.  El plan preliminar de nuestras Agencias Estatales Locales incluye el uso de estos fondos para oportunidades de desarrollo del personal y necesidades de contratación.</w:t>
      </w:r>
    </w:p>
    <w:p w:rsidR="006236DB" w:rsidRPr="006236DB" w:rsidRDefault="006236DB" w:rsidP="006236DB">
      <w:pPr>
        <w:jc w:val="both"/>
        <w:rPr>
          <w:sz w:val="20"/>
          <w:szCs w:val="20"/>
          <w:lang w:val="es-MX"/>
        </w:rPr>
      </w:pPr>
      <w:r w:rsidRPr="006236DB">
        <w:rPr>
          <w:b/>
          <w:sz w:val="20"/>
          <w:szCs w:val="20"/>
          <w:lang w:val="es-MX"/>
        </w:rPr>
        <w:t>Título III</w:t>
      </w:r>
      <w:r w:rsidRPr="006236DB">
        <w:rPr>
          <w:sz w:val="20"/>
          <w:szCs w:val="20"/>
          <w:lang w:val="es-MX"/>
        </w:rPr>
        <w:t xml:space="preserve"> </w:t>
      </w:r>
      <w:r w:rsidRPr="006236DB">
        <w:rPr>
          <w:b/>
          <w:sz w:val="20"/>
          <w:szCs w:val="20"/>
          <w:lang w:val="es-MX"/>
        </w:rPr>
        <w:t>Parte A</w:t>
      </w:r>
      <w:r w:rsidRPr="006236DB">
        <w:rPr>
          <w:sz w:val="20"/>
          <w:szCs w:val="20"/>
          <w:lang w:val="es-MX"/>
        </w:rPr>
        <w:t xml:space="preserve">:  Ley de Adquisición del Idioma Inglés, Mejora del Idioma y Rendimiento Académico está destinado para mejorar la educación de los estudiantes de Inglés (EL) aprendientes de Ingles por sus siglas en Inglés, ayudándolos a aprender Inglés y cumplir con los desafiantes estándares estatales de contenido académico y rendimiento académico de los estudiantes.  El Título III complementa el programa básico para estudiantes de </w:t>
      </w:r>
      <w:r w:rsidRPr="006236DB">
        <w:rPr>
          <w:sz w:val="20"/>
          <w:szCs w:val="20"/>
          <w:lang w:val="es-MX"/>
        </w:rPr>
        <w:t>inglés</w:t>
      </w:r>
      <w:r w:rsidRPr="006236DB">
        <w:rPr>
          <w:sz w:val="20"/>
          <w:szCs w:val="20"/>
          <w:lang w:val="es-MX"/>
        </w:rPr>
        <w:t xml:space="preserve"> de la LEA, (Agencias Educativas Locales) que tiene una base científica y es </w:t>
      </w:r>
      <w:r w:rsidRPr="006236DB">
        <w:rPr>
          <w:sz w:val="20"/>
          <w:szCs w:val="20"/>
          <w:lang w:val="es-MX"/>
        </w:rPr>
        <w:t>eficaz</w:t>
      </w:r>
      <w:r w:rsidRPr="006236DB">
        <w:rPr>
          <w:sz w:val="20"/>
          <w:szCs w:val="20"/>
          <w:lang w:val="es-MX"/>
        </w:rPr>
        <w:t xml:space="preserve"> para aumentar el dominio del Idioma Inglés.  El plan preliminar de nuestras Agencias Educativas Locales (LEA) incluye el uso de estos fondos para salarios suplementarios del personal, suministros y materiales suplementarios, oportunidades de desarrollo del personal y actividades de participación de los padres de familia.</w:t>
      </w:r>
    </w:p>
    <w:p w:rsidR="006236DB" w:rsidRPr="006236DB" w:rsidRDefault="006236DB" w:rsidP="006236DB">
      <w:pPr>
        <w:jc w:val="both"/>
        <w:rPr>
          <w:sz w:val="20"/>
          <w:szCs w:val="20"/>
          <w:lang w:val="es-MX"/>
        </w:rPr>
      </w:pPr>
      <w:r w:rsidRPr="006236DB">
        <w:rPr>
          <w:b/>
          <w:sz w:val="20"/>
          <w:szCs w:val="20"/>
          <w:lang w:val="es-MX"/>
        </w:rPr>
        <w:t>T</w:t>
      </w:r>
      <w:r w:rsidRPr="006236DB">
        <w:rPr>
          <w:rFonts w:eastAsia="Times New Roman" w:cstheme="minorHAnsi"/>
          <w:b/>
          <w:color w:val="1F1F1F"/>
          <w:sz w:val="20"/>
          <w:szCs w:val="20"/>
          <w:lang w:val="es-ES"/>
        </w:rPr>
        <w:t>í</w:t>
      </w:r>
      <w:r w:rsidRPr="006236DB">
        <w:rPr>
          <w:b/>
          <w:sz w:val="20"/>
          <w:szCs w:val="20"/>
          <w:lang w:val="es-MX"/>
        </w:rPr>
        <w:t>tulo IV, Parte A –</w:t>
      </w:r>
      <w:r w:rsidRPr="006236DB">
        <w:rPr>
          <w:sz w:val="20"/>
          <w:szCs w:val="20"/>
          <w:lang w:val="es-MX"/>
        </w:rPr>
        <w:t xml:space="preserve">  Apoyo Estudiantil y Enriquecimiento Académico (SSAE)  El objetivo general del T</w:t>
      </w:r>
      <w:r w:rsidRPr="006236DB">
        <w:rPr>
          <w:rFonts w:eastAsia="Times New Roman" w:cstheme="minorHAnsi"/>
          <w:color w:val="1F1F1F"/>
          <w:sz w:val="20"/>
          <w:szCs w:val="20"/>
          <w:lang w:val="es-ES"/>
        </w:rPr>
        <w:t>í</w:t>
      </w:r>
      <w:r w:rsidRPr="006236DB">
        <w:rPr>
          <w:sz w:val="20"/>
          <w:szCs w:val="20"/>
          <w:lang w:val="es-MX"/>
        </w:rPr>
        <w:t>tulo IV, Parte A, es aumentar la capacidad de las Agencias Educativas Estatales, las Agencias Educativas Locales (LEA), las escuelas y las comunidades para cumplir con tres metas.  Estas tres metas son</w:t>
      </w:r>
      <w:r w:rsidRPr="006236DB">
        <w:rPr>
          <w:sz w:val="20"/>
          <w:szCs w:val="20"/>
          <w:lang w:val="es-MX"/>
        </w:rPr>
        <w:t>: Proporcionar</w:t>
      </w:r>
      <w:r w:rsidRPr="006236DB">
        <w:rPr>
          <w:sz w:val="20"/>
          <w:szCs w:val="20"/>
          <w:lang w:val="es-MX"/>
        </w:rPr>
        <w:t xml:space="preserve"> a todos los estudiantes acceso a una educación integral, mejorar los resultados académicos manteniendo a los estudiantes seguros y saludables, y mejorar el uso de la tecnología para avanzar en el rendimiento académico de los estudiantes.  El plan preliminar de nuestra Agencias Educativas locales (LEA) por sus siglas en inglés, incluye el uso de estos fondos para oportunidades de desarrollo del personal, suministros y materiales adicionales, campamentos de verano en STEM y Bellas Artes, programas para dotados y talentosos (GT) y de Enriquecimiento Académico, e Integración de Tecnología en el salón de clases.  Estos fondos están disponibles para apoyar programas en todo el distrito que van más allá de los requisitos educativos estándares establecidos por la Agencia de Educacion de Texas (TEA) por sus siglas en </w:t>
      </w:r>
      <w:r w:rsidRPr="006236DB">
        <w:rPr>
          <w:sz w:val="20"/>
          <w:szCs w:val="20"/>
          <w:lang w:val="es-MX"/>
        </w:rPr>
        <w:t>inglés,</w:t>
      </w:r>
      <w:r w:rsidRPr="006236DB">
        <w:rPr>
          <w:sz w:val="20"/>
          <w:szCs w:val="20"/>
          <w:lang w:val="es-MX"/>
        </w:rPr>
        <w:t xml:space="preserve"> y las Agencias Educativas Locales (LEA), por sus siglas en </w:t>
      </w:r>
      <w:r w:rsidRPr="006236DB">
        <w:rPr>
          <w:sz w:val="20"/>
          <w:szCs w:val="20"/>
          <w:lang w:val="es-MX"/>
        </w:rPr>
        <w:t>inglés</w:t>
      </w:r>
      <w:r w:rsidRPr="006236DB">
        <w:rPr>
          <w:sz w:val="20"/>
          <w:szCs w:val="20"/>
          <w:lang w:val="es-MX"/>
        </w:rPr>
        <w:t>.</w:t>
      </w:r>
    </w:p>
    <w:sectPr w:rsidR="006236DB" w:rsidRPr="006236D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99F" w:rsidRDefault="009D599F" w:rsidP="00143208">
      <w:pPr>
        <w:spacing w:after="0" w:line="240" w:lineRule="auto"/>
      </w:pPr>
      <w:r>
        <w:separator/>
      </w:r>
    </w:p>
  </w:endnote>
  <w:endnote w:type="continuationSeparator" w:id="0">
    <w:p w:rsidR="009D599F" w:rsidRDefault="009D599F" w:rsidP="00143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99F" w:rsidRDefault="009D599F" w:rsidP="00143208">
      <w:pPr>
        <w:spacing w:after="0" w:line="240" w:lineRule="auto"/>
      </w:pPr>
      <w:r>
        <w:separator/>
      </w:r>
    </w:p>
  </w:footnote>
  <w:footnote w:type="continuationSeparator" w:id="0">
    <w:p w:rsidR="009D599F" w:rsidRDefault="009D599F" w:rsidP="001432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208" w:rsidRDefault="00143208">
    <w:pPr>
      <w:pStyle w:val="Header"/>
    </w:pPr>
    <w:r>
      <w:t xml:space="preserve">                         </w:t>
    </w:r>
    <w:r>
      <w:rPr>
        <w:rFonts w:ascii="Calibri" w:hAnsi="Calibri" w:cs="Calibri"/>
        <w:noProof/>
        <w:color w:val="000000"/>
        <w:bdr w:val="none" w:sz="0" w:space="0" w:color="auto" w:frame="1"/>
      </w:rPr>
      <w:drawing>
        <wp:inline distT="0" distB="0" distL="0" distR="0" wp14:anchorId="5C3E2D41" wp14:editId="4ABA8A76">
          <wp:extent cx="4810125" cy="1047750"/>
          <wp:effectExtent l="0" t="0" r="9525" b="0"/>
          <wp:docPr id="1" name="Picture 1" descr="https://lh7-us.googleusercontent.com/7JkUUhAlQZ1ja6g7mPd5QuKj6RKwE_--Wq9JONCJXNU3Tx49ceyds36cRKLpI23SpqS0zZ7ovH-a3L7Cg6K0oBKmvrvCj79RGAyaXmffupUedL5vcGziJeQl89FGcFKme-kHeHvwwS6ssXs3lgtOG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us.googleusercontent.com/7JkUUhAlQZ1ja6g7mPd5QuKj6RKwE_--Wq9JONCJXNU3Tx49ceyds36cRKLpI23SpqS0zZ7ovH-a3L7Cg6K0oBKmvrvCj79RGAyaXmffupUedL5vcGziJeQl89FGcFKme-kHeHvwwS6ssXs3lgtOGw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10125" cy="10477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208"/>
    <w:rsid w:val="0000219F"/>
    <w:rsid w:val="00143208"/>
    <w:rsid w:val="006236DB"/>
    <w:rsid w:val="007066EC"/>
    <w:rsid w:val="009D599F"/>
    <w:rsid w:val="00D851A8"/>
    <w:rsid w:val="00E26719"/>
    <w:rsid w:val="00EB4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2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208"/>
  </w:style>
  <w:style w:type="paragraph" w:styleId="Footer">
    <w:name w:val="footer"/>
    <w:basedOn w:val="Normal"/>
    <w:link w:val="FooterChar"/>
    <w:uiPriority w:val="99"/>
    <w:unhideWhenUsed/>
    <w:rsid w:val="00143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3208"/>
  </w:style>
  <w:style w:type="paragraph" w:styleId="BalloonText">
    <w:name w:val="Balloon Text"/>
    <w:basedOn w:val="Normal"/>
    <w:link w:val="BalloonTextChar"/>
    <w:uiPriority w:val="99"/>
    <w:semiHidden/>
    <w:unhideWhenUsed/>
    <w:rsid w:val="006236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36DB"/>
    <w:rPr>
      <w:rFonts w:ascii="Tahoma" w:hAnsi="Tahoma" w:cs="Tahoma"/>
      <w:sz w:val="16"/>
      <w:szCs w:val="16"/>
    </w:rPr>
  </w:style>
  <w:style w:type="paragraph" w:styleId="NormalWeb">
    <w:name w:val="Normal (Web)"/>
    <w:basedOn w:val="Normal"/>
    <w:uiPriority w:val="99"/>
    <w:semiHidden/>
    <w:unhideWhenUsed/>
    <w:rsid w:val="006236D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2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208"/>
  </w:style>
  <w:style w:type="paragraph" w:styleId="Footer">
    <w:name w:val="footer"/>
    <w:basedOn w:val="Normal"/>
    <w:link w:val="FooterChar"/>
    <w:uiPriority w:val="99"/>
    <w:unhideWhenUsed/>
    <w:rsid w:val="00143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3208"/>
  </w:style>
  <w:style w:type="paragraph" w:styleId="BalloonText">
    <w:name w:val="Balloon Text"/>
    <w:basedOn w:val="Normal"/>
    <w:link w:val="BalloonTextChar"/>
    <w:uiPriority w:val="99"/>
    <w:semiHidden/>
    <w:unhideWhenUsed/>
    <w:rsid w:val="006236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36DB"/>
    <w:rPr>
      <w:rFonts w:ascii="Tahoma" w:hAnsi="Tahoma" w:cs="Tahoma"/>
      <w:sz w:val="16"/>
      <w:szCs w:val="16"/>
    </w:rPr>
  </w:style>
  <w:style w:type="paragraph" w:styleId="NormalWeb">
    <w:name w:val="Normal (Web)"/>
    <w:basedOn w:val="Normal"/>
    <w:uiPriority w:val="99"/>
    <w:semiHidden/>
    <w:unhideWhenUsed/>
    <w:rsid w:val="006236D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85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928</Words>
  <Characters>5295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Willis ISD</Company>
  <LinksUpToDate>false</LinksUpToDate>
  <CharactersWithSpaces>6211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Baker, Delia</dc:creator>
  <cp:lastModifiedBy>Baker, Delia</cp:lastModifiedBy>
  <cp:revision>2</cp:revision>
  <dcterms:created xsi:type="dcterms:W3CDTF">2025-04-09T18:33:00Z</dcterms:created>
  <dcterms:modified xsi:type="dcterms:W3CDTF">2025-04-09T18:33:00Z</dcterms:modified>
</cp:coreProperties>
</file>