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State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Local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Capital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State Funding-</w:t>
      </w:r>
    </w:p>
    <w:p w:rsidR="00000000" w:rsidDel="00000000" w:rsidP="00000000" w:rsidRDefault="00000000" w:rsidRPr="00000000">
      <w:pPr>
        <w:pBdr/>
        <w:contextualSpacing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Base level for everyone-$6200 range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Amendment 23- 1%+ inflation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Additional monies given for at risk, concentration of at risk.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Cost of living-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Size of district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$8100/per student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Denver closer to $8800/per student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Negative Factor-What we should have and what we do have.  Same percentage for every district.  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We do not receive any marijuana funding.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Local Funding-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  <w:t xml:space="preserve">Property Tax-School Finance Act</w:t>
      </w:r>
    </w:p>
    <w:p w:rsidR="00000000" w:rsidDel="00000000" w:rsidP="00000000" w:rsidRDefault="00000000" w:rsidRPr="00000000">
      <w:pPr>
        <w:pBdr/>
        <w:ind w:left="720" w:firstLine="0"/>
        <w:contextualSpacing w:val="0"/>
        <w:rPr/>
      </w:pPr>
      <w:r w:rsidDel="00000000" w:rsidR="00000000" w:rsidRPr="00000000">
        <w:rPr>
          <w:rtl w:val="0"/>
        </w:rPr>
        <w:t xml:space="preserve">*Gallagher Amendment-What percentage of taxes can come from commercial/residential. </w:t>
      </w:r>
    </w:p>
    <w:p w:rsidR="00000000" w:rsidDel="00000000" w:rsidP="00000000" w:rsidRDefault="00000000" w:rsidRPr="00000000">
      <w:pPr>
        <w:pBdr/>
        <w:ind w:left="720" w:firstLine="0"/>
        <w:contextualSpacing w:val="0"/>
        <w:rPr/>
      </w:pPr>
      <w:r w:rsidDel="00000000" w:rsidR="00000000" w:rsidRPr="00000000">
        <w:rPr>
          <w:rtl w:val="0"/>
        </w:rPr>
        <w:t xml:space="preserve">*TABOR-Control the rate of government growth into taxpayers hands.  No taxes without a vote.  </w:t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 Not a huge difference in how we are funded by the state</w:t>
      </w:r>
    </w:p>
    <w:p w:rsidR="00000000" w:rsidDel="00000000" w:rsidP="00000000" w:rsidRDefault="00000000" w:rsidRPr="00000000">
      <w:pPr>
        <w:numPr>
          <w:ilvl w:val="0"/>
          <w:numId w:val="1"/>
        </w:numPr>
        <w:pBdr/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When our property taxes go up, funding for our schools does not change.  </w:t>
      </w:r>
    </w:p>
    <w:p w:rsidR="00000000" w:rsidDel="00000000" w:rsidP="00000000" w:rsidRDefault="00000000" w:rsidRPr="00000000">
      <w:pPr>
        <w:numPr>
          <w:ilvl w:val="1"/>
          <w:numId w:val="1"/>
        </w:numPr>
        <w:pBdr/>
        <w:ind w:left="144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The state will just sent less.  All other governmental agencies are not affected this way.  Only schools.  </w:t>
      </w:r>
    </w:p>
    <w:p w:rsidR="00000000" w:rsidDel="00000000" w:rsidP="00000000" w:rsidRDefault="00000000" w:rsidRPr="00000000">
      <w:pPr>
        <w:numPr>
          <w:ilvl w:val="2"/>
          <w:numId w:val="1"/>
        </w:numPr>
        <w:pBdr/>
        <w:ind w:left="216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No benefits from increased growth or additional taxes.</w:t>
      </w:r>
    </w:p>
    <w:p w:rsidR="00000000" w:rsidDel="00000000" w:rsidP="00000000" w:rsidRDefault="00000000" w:rsidRPr="00000000">
      <w:pPr>
        <w:pBdr/>
        <w:ind w:left="144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Mill Levy Override-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We can ask voters for up to 25% locally, over the course.  Currently, we get 33M additionally from previous MLO.  That equates to $525/student.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In 2009-our gap between CCSD was $621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2016-$2,037 (CCSD $1500)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If we had the same as CCSD, we would have 100 million additional dollars. 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MLO is over and above the ‘should have’ number unless you are over the 25%.  7% is what we currently get.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Internal Pay Gap Problem--$10-20 million of on-going funding.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External Pay Gap-$10-20 million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Sustainable Operational Situations-</w:t>
      </w:r>
    </w:p>
    <w:p w:rsidR="00000000" w:rsidDel="00000000" w:rsidP="00000000" w:rsidRDefault="00000000" w:rsidRPr="00000000">
      <w:pPr>
        <w:pBdr/>
        <w:ind w:left="0" w:firstLine="0"/>
        <w:contextualSpacing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DCSD Capital Needs-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200 million to ‘catch up’.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($25m per year to ‘keep up’)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New Construction (2016-2021)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84.2 million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New Construction (2021-2026)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412.3 million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Bond--Permission to take out debt on their behalf.  Tax free municipal bonds.  People buy them, taxpayers pay it back.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CCSD-$600 million dollars since 2008.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*Building construction, computer infrastructure, etc.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DCSD-$0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Littleton and Jeffco-$100 million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2011 Bond was to build InspirED.  Didn’t pass.  We did it anyway.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  <w:t xml:space="preserve">Present to SAC/PTO/Staff by the end of the year.  </w:t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ind w:left="0" w:firstLine="0"/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pBdr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