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center"/>
        <w:rPr>
          <w:sz w:val="24"/>
          <w:szCs w:val="24"/>
        </w:rPr>
      </w:pPr>
      <w:r w:rsidDel="00000000" w:rsidR="00000000" w:rsidRPr="00000000">
        <w:rPr>
          <w:sz w:val="28"/>
          <w:szCs w:val="28"/>
        </w:rPr>
        <w:drawing>
          <wp:inline distB="0" distT="0" distL="0" distR="0">
            <wp:extent cx="787400" cy="687817"/>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87400" cy="68781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line="240" w:lineRule="auto"/>
        <w:jc w:val="center"/>
        <w:rPr>
          <w:b w:val="1"/>
          <w:sz w:val="36"/>
          <w:szCs w:val="36"/>
        </w:rPr>
      </w:pPr>
      <w:r w:rsidDel="00000000" w:rsidR="00000000" w:rsidRPr="00000000">
        <w:rPr>
          <w:b w:val="1"/>
          <w:sz w:val="36"/>
          <w:szCs w:val="36"/>
          <w:rtl w:val="0"/>
        </w:rPr>
        <w:t xml:space="preserve">TAYLOR COUNTY SCHOOLS </w:t>
      </w:r>
    </w:p>
    <w:p w:rsidR="00000000" w:rsidDel="00000000" w:rsidP="00000000" w:rsidRDefault="00000000" w:rsidRPr="00000000" w14:paraId="00000003">
      <w:pPr>
        <w:pageBreakBefore w:val="0"/>
        <w:spacing w:line="240" w:lineRule="auto"/>
        <w:jc w:val="center"/>
        <w:rPr>
          <w:b w:val="1"/>
          <w:sz w:val="28"/>
          <w:szCs w:val="28"/>
        </w:rPr>
      </w:pPr>
      <w:r w:rsidDel="00000000" w:rsidR="00000000" w:rsidRPr="00000000">
        <w:rPr>
          <w:b w:val="1"/>
          <w:sz w:val="36"/>
          <w:szCs w:val="36"/>
          <w:rtl w:val="0"/>
        </w:rPr>
        <w:t xml:space="preserve">CARDINAL ACADEMY</w:t>
      </w:r>
      <w:r w:rsidDel="00000000" w:rsidR="00000000" w:rsidRPr="00000000">
        <w:rPr>
          <w:b w:val="1"/>
          <w:sz w:val="28"/>
          <w:szCs w:val="28"/>
          <w:rtl w:val="0"/>
        </w:rPr>
        <w:t xml:space="preserve"> </w:t>
      </w:r>
    </w:p>
    <w:p w:rsidR="00000000" w:rsidDel="00000000" w:rsidP="00000000" w:rsidRDefault="00000000" w:rsidRPr="00000000" w14:paraId="00000004">
      <w:pPr>
        <w:pageBreakBefore w:val="0"/>
        <w:spacing w:line="240" w:lineRule="auto"/>
        <w:jc w:val="center"/>
        <w:rPr>
          <w:b w:val="1"/>
          <w:sz w:val="28"/>
          <w:szCs w:val="28"/>
        </w:rPr>
      </w:pPr>
      <w:r w:rsidDel="00000000" w:rsidR="00000000" w:rsidRPr="00000000">
        <w:rPr>
          <w:b w:val="1"/>
          <w:sz w:val="28"/>
          <w:szCs w:val="28"/>
          <w:rtl w:val="0"/>
        </w:rPr>
        <w:t xml:space="preserve">SPECIFIC SCHOOL BY SCHOOL PLAN</w:t>
      </w:r>
    </w:p>
    <w:p w:rsidR="00000000" w:rsidDel="00000000" w:rsidP="00000000" w:rsidRDefault="00000000" w:rsidRPr="00000000" w14:paraId="00000005">
      <w:pPr>
        <w:pageBreakBefore w:val="0"/>
        <w:spacing w:line="240" w:lineRule="auto"/>
        <w:rPr/>
      </w:pPr>
      <w:r w:rsidDel="00000000" w:rsidR="00000000" w:rsidRPr="00000000">
        <w:rPr>
          <w:rtl w:val="0"/>
        </w:rPr>
      </w:r>
    </w:p>
    <w:p w:rsidR="00000000" w:rsidDel="00000000" w:rsidP="00000000" w:rsidRDefault="00000000" w:rsidRPr="00000000" w14:paraId="00000006">
      <w:pPr>
        <w:pageBreakBefore w:val="0"/>
        <w:spacing w:line="240" w:lineRule="auto"/>
        <w:rPr>
          <w:b w:val="1"/>
          <w:sz w:val="28"/>
          <w:szCs w:val="28"/>
          <w:u w:val="single"/>
        </w:rPr>
      </w:pPr>
      <w:r w:rsidDel="00000000" w:rsidR="00000000" w:rsidRPr="00000000">
        <w:rPr>
          <w:b w:val="1"/>
          <w:sz w:val="28"/>
          <w:szCs w:val="28"/>
          <w:u w:val="single"/>
          <w:rtl w:val="0"/>
        </w:rPr>
        <w:t xml:space="preserve">DISTRICT VISION</w:t>
      </w:r>
    </w:p>
    <w:p w:rsidR="00000000" w:rsidDel="00000000" w:rsidP="00000000" w:rsidRDefault="00000000" w:rsidRPr="00000000" w14:paraId="00000007">
      <w:pPr>
        <w:pageBreakBefore w:val="0"/>
        <w:spacing w:line="240" w:lineRule="auto"/>
        <w:rPr/>
      </w:pPr>
      <w:r w:rsidDel="00000000" w:rsidR="00000000" w:rsidRPr="00000000">
        <w:rPr>
          <w:rtl w:val="0"/>
        </w:rPr>
        <w:t xml:space="preserve">All schools will use innovative ways to accelerate students academically while giving students voice/choice, flexibility in scheduling, opportunities to seek career options, and online opportunities to gain high school credits. Cardinal Academy students will accomplish and maintain proficiency or higher on state assessments while using STEM to develop critical thinking skills.  </w:t>
      </w:r>
    </w:p>
    <w:p w:rsidR="00000000" w:rsidDel="00000000" w:rsidP="00000000" w:rsidRDefault="00000000" w:rsidRPr="00000000" w14:paraId="00000008">
      <w:pPr>
        <w:pageBreakBefore w:val="0"/>
        <w:spacing w:line="240" w:lineRule="auto"/>
        <w:rPr/>
      </w:pPr>
      <w:r w:rsidDel="00000000" w:rsidR="00000000" w:rsidRPr="00000000">
        <w:rPr>
          <w:rtl w:val="0"/>
        </w:rPr>
      </w:r>
    </w:p>
    <w:p w:rsidR="00000000" w:rsidDel="00000000" w:rsidP="00000000" w:rsidRDefault="00000000" w:rsidRPr="00000000" w14:paraId="00000009">
      <w:pPr>
        <w:pageBreakBefore w:val="0"/>
        <w:spacing w:line="240" w:lineRule="auto"/>
        <w:rPr>
          <w:b w:val="1"/>
          <w:sz w:val="28"/>
          <w:szCs w:val="28"/>
          <w:u w:val="single"/>
        </w:rPr>
      </w:pPr>
      <w:r w:rsidDel="00000000" w:rsidR="00000000" w:rsidRPr="00000000">
        <w:rPr>
          <w:b w:val="1"/>
          <w:sz w:val="28"/>
          <w:szCs w:val="28"/>
          <w:u w:val="single"/>
          <w:rtl w:val="0"/>
        </w:rPr>
        <w:t xml:space="preserve">TCPS</w:t>
      </w:r>
    </w:p>
    <w:p w:rsidR="00000000" w:rsidDel="00000000" w:rsidP="00000000" w:rsidRDefault="00000000" w:rsidRPr="00000000" w14:paraId="0000000A">
      <w:pPr>
        <w:pageBreakBefore w:val="0"/>
        <w:spacing w:line="240" w:lineRule="auto"/>
        <w:rPr/>
      </w:pPr>
      <w:r w:rsidDel="00000000" w:rsidR="00000000" w:rsidRPr="00000000">
        <w:rPr>
          <w:rtl w:val="0"/>
        </w:rPr>
        <w:t xml:space="preserve">Students of TCPS participate in the primary talent pool.  Students meet once a week to complete STEM activities.  </w:t>
      </w:r>
    </w:p>
    <w:p w:rsidR="00000000" w:rsidDel="00000000" w:rsidP="00000000" w:rsidRDefault="00000000" w:rsidRPr="00000000" w14:paraId="0000000B">
      <w:pPr>
        <w:pageBreakBefore w:val="0"/>
        <w:spacing w:line="240" w:lineRule="auto"/>
        <w:rPr/>
      </w:pPr>
      <w:r w:rsidDel="00000000" w:rsidR="00000000" w:rsidRPr="00000000">
        <w:rPr>
          <w:rtl w:val="0"/>
        </w:rPr>
      </w:r>
    </w:p>
    <w:p w:rsidR="00000000" w:rsidDel="00000000" w:rsidP="00000000" w:rsidRDefault="00000000" w:rsidRPr="00000000" w14:paraId="0000000C">
      <w:pPr>
        <w:pageBreakBefore w:val="0"/>
        <w:spacing w:line="240" w:lineRule="auto"/>
        <w:rPr/>
      </w:pPr>
      <w:r w:rsidDel="00000000" w:rsidR="00000000" w:rsidRPr="00000000">
        <w:rPr>
          <w:rtl w:val="0"/>
        </w:rPr>
        <w:t xml:space="preserve">Students are identified using 3 pieces of evidence one being 90% or above on MAP testing.  Other evidence can be work samples, teacher recommendations, Fountas and Pinnell levels, or other data collected.  </w:t>
      </w:r>
    </w:p>
    <w:p w:rsidR="00000000" w:rsidDel="00000000" w:rsidP="00000000" w:rsidRDefault="00000000" w:rsidRPr="00000000" w14:paraId="0000000D">
      <w:pPr>
        <w:pageBreakBefore w:val="0"/>
        <w:spacing w:line="240" w:lineRule="auto"/>
        <w:rPr/>
      </w:pPr>
      <w:r w:rsidDel="00000000" w:rsidR="00000000" w:rsidRPr="00000000">
        <w:rPr>
          <w:rtl w:val="0"/>
        </w:rPr>
      </w:r>
    </w:p>
    <w:p w:rsidR="00000000" w:rsidDel="00000000" w:rsidP="00000000" w:rsidRDefault="00000000" w:rsidRPr="00000000" w14:paraId="0000000E">
      <w:pPr>
        <w:pageBreakBefore w:val="0"/>
        <w:spacing w:line="240" w:lineRule="auto"/>
        <w:rPr>
          <w:b w:val="1"/>
          <w:sz w:val="28"/>
          <w:szCs w:val="28"/>
          <w:u w:val="single"/>
        </w:rPr>
      </w:pPr>
      <w:r w:rsidDel="00000000" w:rsidR="00000000" w:rsidRPr="00000000">
        <w:rPr>
          <w:b w:val="1"/>
          <w:sz w:val="28"/>
          <w:szCs w:val="28"/>
          <w:u w:val="single"/>
          <w:rtl w:val="0"/>
        </w:rPr>
        <w:t xml:space="preserve">TCIS</w:t>
      </w:r>
    </w:p>
    <w:p w:rsidR="00000000" w:rsidDel="00000000" w:rsidP="00000000" w:rsidRDefault="00000000" w:rsidRPr="00000000" w14:paraId="0000000F">
      <w:pPr>
        <w:pageBreakBefore w:val="0"/>
        <w:spacing w:line="240" w:lineRule="auto"/>
        <w:rPr/>
      </w:pPr>
      <w:r w:rsidDel="00000000" w:rsidR="00000000" w:rsidRPr="00000000">
        <w:rPr>
          <w:rtl w:val="0"/>
        </w:rPr>
        <w:t xml:space="preserve">3rd grade students are continued by using the primary talent pool requirements as set by district policy (see TCPS identification).</w:t>
      </w:r>
    </w:p>
    <w:p w:rsidR="00000000" w:rsidDel="00000000" w:rsidP="00000000" w:rsidRDefault="00000000" w:rsidRPr="00000000" w14:paraId="00000010">
      <w:pPr>
        <w:pageBreakBefore w:val="0"/>
        <w:spacing w:line="240" w:lineRule="auto"/>
        <w:rPr/>
      </w:pPr>
      <w:r w:rsidDel="00000000" w:rsidR="00000000" w:rsidRPr="00000000">
        <w:rPr>
          <w:rtl w:val="0"/>
        </w:rPr>
        <w:t xml:space="preserve">4th and above students qualify using trend data (at least 2 testing terms) of 75% or above on reading </w:t>
      </w:r>
      <w:r w:rsidDel="00000000" w:rsidR="00000000" w:rsidRPr="00000000">
        <w:rPr>
          <w:b w:val="1"/>
          <w:rtl w:val="0"/>
        </w:rPr>
        <w:t xml:space="preserve">and</w:t>
      </w:r>
      <w:r w:rsidDel="00000000" w:rsidR="00000000" w:rsidRPr="00000000">
        <w:rPr>
          <w:rtl w:val="0"/>
        </w:rPr>
        <w:t xml:space="preserve"> math MAP, remain proficient or distinguished on KSA, have excellent behavior and attendance.  </w:t>
      </w:r>
    </w:p>
    <w:p w:rsidR="00000000" w:rsidDel="00000000" w:rsidP="00000000" w:rsidRDefault="00000000" w:rsidRPr="00000000" w14:paraId="00000011">
      <w:pPr>
        <w:pageBreakBefore w:val="0"/>
        <w:spacing w:line="240" w:lineRule="auto"/>
        <w:rPr/>
      </w:pPr>
      <w:r w:rsidDel="00000000" w:rsidR="00000000" w:rsidRPr="00000000">
        <w:rPr>
          <w:rtl w:val="0"/>
        </w:rPr>
      </w:r>
    </w:p>
    <w:p w:rsidR="00000000" w:rsidDel="00000000" w:rsidP="00000000" w:rsidRDefault="00000000" w:rsidRPr="00000000" w14:paraId="00000012">
      <w:pPr>
        <w:pageBreakBefore w:val="0"/>
        <w:spacing w:line="240" w:lineRule="auto"/>
        <w:rPr/>
      </w:pPr>
      <w:r w:rsidDel="00000000" w:rsidR="00000000" w:rsidRPr="00000000">
        <w:rPr>
          <w:rtl w:val="0"/>
        </w:rPr>
        <w:t xml:space="preserve">Qualifying students meet weekly during their enrichment/intervention block.  During class, they will complete a variety of activities focused on STEAM, critical thinking, genius hour projects, robotics, specific areas of interest/need, community service, and other outreach initiatives.</w:t>
      </w:r>
    </w:p>
    <w:p w:rsidR="00000000" w:rsidDel="00000000" w:rsidP="00000000" w:rsidRDefault="00000000" w:rsidRPr="00000000" w14:paraId="00000013">
      <w:pPr>
        <w:pageBreakBefore w:val="0"/>
        <w:spacing w:line="240" w:lineRule="auto"/>
        <w:rPr/>
      </w:pPr>
      <w:r w:rsidDel="00000000" w:rsidR="00000000" w:rsidRPr="00000000">
        <w:rPr>
          <w:rtl w:val="0"/>
        </w:rPr>
      </w:r>
    </w:p>
    <w:p w:rsidR="00000000" w:rsidDel="00000000" w:rsidP="00000000" w:rsidRDefault="00000000" w:rsidRPr="00000000" w14:paraId="00000014">
      <w:pPr>
        <w:pageBreakBefore w:val="0"/>
        <w:spacing w:line="240" w:lineRule="auto"/>
        <w:rPr>
          <w:b w:val="1"/>
          <w:sz w:val="28"/>
          <w:szCs w:val="28"/>
          <w:u w:val="single"/>
        </w:rPr>
      </w:pPr>
      <w:r w:rsidDel="00000000" w:rsidR="00000000" w:rsidRPr="00000000">
        <w:rPr>
          <w:b w:val="1"/>
          <w:sz w:val="28"/>
          <w:szCs w:val="28"/>
          <w:u w:val="single"/>
          <w:rtl w:val="0"/>
        </w:rPr>
        <w:t xml:space="preserve">TCMS</w:t>
      </w:r>
    </w:p>
    <w:p w:rsidR="00000000" w:rsidDel="00000000" w:rsidP="00000000" w:rsidRDefault="00000000" w:rsidRPr="00000000" w14:paraId="00000015">
      <w:pPr>
        <w:pageBreakBefore w:val="0"/>
        <w:spacing w:line="240" w:lineRule="auto"/>
        <w:rPr/>
      </w:pPr>
      <w:r w:rsidDel="00000000" w:rsidR="00000000" w:rsidRPr="00000000">
        <w:rPr>
          <w:rtl w:val="0"/>
        </w:rPr>
        <w:t xml:space="preserve">Students qualify using trend data (at least 2 testing terms) of 75% or above on reading and math MAP, remain proficient or distinguished on KSA, have excellent behavior and attendance.  </w:t>
      </w:r>
    </w:p>
    <w:p w:rsidR="00000000" w:rsidDel="00000000" w:rsidP="00000000" w:rsidRDefault="00000000" w:rsidRPr="00000000" w14:paraId="00000016">
      <w:pPr>
        <w:pageBreakBefore w:val="0"/>
        <w:spacing w:line="240" w:lineRule="auto"/>
        <w:rPr/>
      </w:pPr>
      <w:r w:rsidDel="00000000" w:rsidR="00000000" w:rsidRPr="00000000">
        <w:rPr>
          <w:rtl w:val="0"/>
        </w:rPr>
      </w:r>
    </w:p>
    <w:p w:rsidR="00000000" w:rsidDel="00000000" w:rsidP="00000000" w:rsidRDefault="00000000" w:rsidRPr="00000000" w14:paraId="00000017">
      <w:pPr>
        <w:pageBreakBefore w:val="0"/>
        <w:spacing w:line="240" w:lineRule="auto"/>
        <w:rPr/>
      </w:pPr>
      <w:r w:rsidDel="00000000" w:rsidR="00000000" w:rsidRPr="00000000">
        <w:rPr>
          <w:rtl w:val="0"/>
        </w:rPr>
        <w:t xml:space="preserve">Qualifying students meet once a day during a class period.  Their main focus is completing elective courses for high school credit.  This will allow students to have a more flexible schedule when entering high school.  Students also focus on STEM related activities and fields, genius hour projects, community outreach, service learning, mentorships, and specific areas of interest/need.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