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Montpelier Civic League Volunteerism Award - $1000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  The recipient must be enrolled in at least a 2 year college degree program.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  The recipient shall have demonstrated all of the characteristics upon which the Montpelier Civic League was founded, namely, friendliness, graciousness, courtesy and commitment to community.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ff0000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 </w:t>
      </w:r>
      <w:r w:rsidDel="00000000" w:rsidR="00000000" w:rsidRPr="00000000">
        <w:rPr>
          <w:color w:val="000000"/>
          <w:sz w:val="32"/>
          <w:szCs w:val="32"/>
          <w:rtl w:val="0"/>
        </w:rPr>
        <w:t xml:space="preserve"> The recipient shall have demonstrated a sense of selflessness through volunteerism within the community through both school sponsored events and non-school sponsored events.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sz w:val="32"/>
          <w:szCs w:val="32"/>
          <w:rtl w:val="0"/>
        </w:rPr>
        <w:t xml:space="preserve">These actions will be communicated to the Montpelier Civic League Scholarship Committee by way of a short essay of 300 words. Be sure to include your full name on your essay submission. 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Essay deadline:  March 27 of award year.   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Please return all submissions to Mrs. Friend.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