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CellMar>
          <w:left w:w="0" w:type="dxa"/>
          <w:right w:w="0" w:type="dxa"/>
        </w:tblCellMar>
        <w:tblLook w:val="04A0" w:firstRow="1" w:lastRow="0" w:firstColumn="1" w:lastColumn="0" w:noHBand="0" w:noVBand="1"/>
      </w:tblPr>
      <w:tblGrid>
        <w:gridCol w:w="10800"/>
      </w:tblGrid>
      <w:tr w:rsidR="007E3DAC" w14:paraId="1D984497" w14:textId="77777777" w:rsidTr="007E3DAC">
        <w:trPr>
          <w:jc w:val="center"/>
        </w:trPr>
        <w:tc>
          <w:tcPr>
            <w:tcW w:w="5000" w:type="pct"/>
            <w:shd w:val="clear" w:color="auto" w:fill="EEEEEE"/>
            <w:vAlign w:val="center"/>
            <w:hideMark/>
          </w:tcPr>
          <w:tbl>
            <w:tblPr>
              <w:tblW w:w="5000" w:type="pct"/>
              <w:jc w:val="center"/>
              <w:tblCellMar>
                <w:left w:w="0" w:type="dxa"/>
                <w:right w:w="0" w:type="dxa"/>
              </w:tblCellMar>
              <w:tblLook w:val="04A0" w:firstRow="1" w:lastRow="0" w:firstColumn="1" w:lastColumn="0" w:noHBand="0" w:noVBand="1"/>
            </w:tblPr>
            <w:tblGrid>
              <w:gridCol w:w="7"/>
              <w:gridCol w:w="10786"/>
              <w:gridCol w:w="7"/>
            </w:tblGrid>
            <w:tr w:rsidR="007E3DAC" w14:paraId="08A0514D" w14:textId="77777777">
              <w:trPr>
                <w:jc w:val="center"/>
              </w:trPr>
              <w:tc>
                <w:tcPr>
                  <w:tcW w:w="0" w:type="auto"/>
                  <w:tcMar>
                    <w:top w:w="300" w:type="dxa"/>
                    <w:left w:w="0" w:type="dxa"/>
                    <w:bottom w:w="300" w:type="dxa"/>
                    <w:right w:w="0" w:type="dxa"/>
                  </w:tcMar>
                  <w:vAlign w:val="center"/>
                  <w:hideMark/>
                </w:tcPr>
                <w:p w14:paraId="1E5A74DE" w14:textId="77777777" w:rsidR="007E3DAC" w:rsidRDefault="007E3DAC"/>
              </w:tc>
              <w:tc>
                <w:tcPr>
                  <w:tcW w:w="0" w:type="auto"/>
                  <w:tcMar>
                    <w:top w:w="300" w:type="dxa"/>
                    <w:left w:w="0" w:type="dxa"/>
                    <w:bottom w:w="300" w:type="dxa"/>
                    <w:right w:w="0" w:type="dxa"/>
                  </w:tcMar>
                  <w:vAlign w:val="center"/>
                </w:tcPr>
                <w:tbl>
                  <w:tblPr>
                    <w:tblW w:w="9000" w:type="dxa"/>
                    <w:jc w:val="center"/>
                    <w:tblCellMar>
                      <w:left w:w="0" w:type="dxa"/>
                      <w:right w:w="0" w:type="dxa"/>
                    </w:tblCellMar>
                    <w:tblLook w:val="04A0" w:firstRow="1" w:lastRow="0" w:firstColumn="1" w:lastColumn="0" w:noHBand="0" w:noVBand="1"/>
                  </w:tblPr>
                  <w:tblGrid>
                    <w:gridCol w:w="9000"/>
                  </w:tblGrid>
                  <w:tr w:rsidR="007E3DAC" w14:paraId="4D5A77D9" w14:textId="77777777">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7E3DAC" w14:paraId="6132DC14"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000"/>
                              </w:tblGrid>
                              <w:tr w:rsidR="007E3DAC" w14:paraId="71DFD81F" w14:textId="77777777">
                                <w:trPr>
                                  <w:jc w:val="center"/>
                                </w:trPr>
                                <w:tc>
                                  <w:tcPr>
                                    <w:tcW w:w="9000" w:type="dxa"/>
                                    <w:hideMark/>
                                  </w:tcPr>
                                  <w:tbl>
                                    <w:tblPr>
                                      <w:tblW w:w="5000" w:type="pct"/>
                                      <w:jc w:val="center"/>
                                      <w:tblCellMar>
                                        <w:left w:w="0" w:type="dxa"/>
                                        <w:right w:w="0" w:type="dxa"/>
                                      </w:tblCellMar>
                                      <w:tblLook w:val="04A0" w:firstRow="1" w:lastRow="0" w:firstColumn="1" w:lastColumn="0" w:noHBand="0" w:noVBand="1"/>
                                    </w:tblPr>
                                    <w:tblGrid>
                                      <w:gridCol w:w="9000"/>
                                    </w:tblGrid>
                                    <w:tr w:rsidR="007E3DAC" w14:paraId="7751D3E2" w14:textId="77777777">
                                      <w:trPr>
                                        <w:jc w:val="center"/>
                                      </w:trPr>
                                      <w:tc>
                                        <w:tcPr>
                                          <w:tcW w:w="0" w:type="auto"/>
                                          <w:tcMar>
                                            <w:top w:w="225" w:type="dxa"/>
                                            <w:left w:w="225" w:type="dxa"/>
                                            <w:bottom w:w="225" w:type="dxa"/>
                                            <w:right w:w="225" w:type="dxa"/>
                                          </w:tcMar>
                                          <w:vAlign w:val="center"/>
                                          <w:hideMark/>
                                        </w:tcPr>
                                        <w:p w14:paraId="0F422353" w14:textId="24D22A74" w:rsidR="007E3DAC" w:rsidRDefault="007E3DAC">
                                          <w:r>
                                            <w:rPr>
                                              <w:noProof/>
                                            </w:rPr>
                                            <w:drawing>
                                              <wp:inline distT="0" distB="0" distL="0" distR="0" wp14:anchorId="02F57A1E" wp14:editId="271D299D">
                                                <wp:extent cx="5429250" cy="1724025"/>
                                                <wp:effectExtent l="0" t="0" r="0" b="9525"/>
                                                <wp:docPr id="1" name="Picture 1" descr="DHEWD Generic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EWD Generic Banne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29250" cy="1724025"/>
                                                        </a:xfrm>
                                                        <a:prstGeom prst="rect">
                                                          <a:avLst/>
                                                        </a:prstGeom>
                                                        <a:noFill/>
                                                        <a:ln>
                                                          <a:noFill/>
                                                        </a:ln>
                                                      </pic:spPr>
                                                    </pic:pic>
                                                  </a:graphicData>
                                                </a:graphic>
                                              </wp:inline>
                                            </w:drawing>
                                          </w:r>
                                        </w:p>
                                      </w:tc>
                                    </w:tr>
                                  </w:tbl>
                                  <w:p w14:paraId="193A6FCD" w14:textId="77777777" w:rsidR="007E3DAC" w:rsidRDefault="007E3DAC">
                                    <w:pPr>
                                      <w:jc w:val="center"/>
                                      <w:rPr>
                                        <w:rFonts w:ascii="Times New Roman" w:eastAsia="Times New Roman" w:hAnsi="Times New Roman" w:cs="Times New Roman"/>
                                        <w:sz w:val="20"/>
                                        <w:szCs w:val="20"/>
                                      </w:rPr>
                                    </w:pPr>
                                  </w:p>
                                </w:tc>
                              </w:tr>
                            </w:tbl>
                            <w:p w14:paraId="3373167F" w14:textId="77777777" w:rsidR="007E3DAC" w:rsidRDefault="007E3DAC">
                              <w:pPr>
                                <w:jc w:val="center"/>
                                <w:rPr>
                                  <w:rFonts w:ascii="Times New Roman" w:eastAsia="Times New Roman" w:hAnsi="Times New Roman" w:cs="Times New Roman"/>
                                  <w:sz w:val="20"/>
                                  <w:szCs w:val="20"/>
                                </w:rPr>
                              </w:pPr>
                            </w:p>
                          </w:tc>
                        </w:tr>
                      </w:tbl>
                      <w:p w14:paraId="7731D237" w14:textId="77777777" w:rsidR="007E3DAC" w:rsidRDefault="007E3DAC">
                        <w:pPr>
                          <w:jc w:val="center"/>
                          <w:rPr>
                            <w:rFonts w:ascii="Times New Roman" w:eastAsia="Times New Roman" w:hAnsi="Times New Roman" w:cs="Times New Roman"/>
                            <w:sz w:val="20"/>
                            <w:szCs w:val="20"/>
                          </w:rPr>
                        </w:pPr>
                      </w:p>
                    </w:tc>
                  </w:tr>
                </w:tbl>
                <w:p w14:paraId="22B4A104" w14:textId="77777777" w:rsidR="007E3DAC" w:rsidRDefault="007E3DAC"/>
                <w:tbl>
                  <w:tblPr>
                    <w:tblW w:w="9000" w:type="dxa"/>
                    <w:jc w:val="center"/>
                    <w:tblCellMar>
                      <w:left w:w="0" w:type="dxa"/>
                      <w:right w:w="0" w:type="dxa"/>
                    </w:tblCellMar>
                    <w:tblLook w:val="04A0" w:firstRow="1" w:lastRow="0" w:firstColumn="1" w:lastColumn="0" w:noHBand="0" w:noVBand="1"/>
                  </w:tblPr>
                  <w:tblGrid>
                    <w:gridCol w:w="9000"/>
                  </w:tblGrid>
                  <w:tr w:rsidR="007E3DAC" w14:paraId="166C85AD" w14:textId="77777777">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7E3DAC" w14:paraId="2B5A2E25"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4500"/>
                                <w:gridCol w:w="4500"/>
                              </w:tblGrid>
                              <w:tr w:rsidR="007E3DAC" w14:paraId="0C2D0F0F" w14:textId="77777777">
                                <w:trPr>
                                  <w:jc w:val="center"/>
                                </w:trPr>
                                <w:tc>
                                  <w:tcPr>
                                    <w:tcW w:w="4500" w:type="dxa"/>
                                    <w:hideMark/>
                                  </w:tcPr>
                                  <w:tbl>
                                    <w:tblPr>
                                      <w:tblW w:w="5000" w:type="pct"/>
                                      <w:jc w:val="center"/>
                                      <w:tblCellMar>
                                        <w:left w:w="0" w:type="dxa"/>
                                        <w:right w:w="0" w:type="dxa"/>
                                      </w:tblCellMar>
                                      <w:tblLook w:val="04A0" w:firstRow="1" w:lastRow="0" w:firstColumn="1" w:lastColumn="0" w:noHBand="0" w:noVBand="1"/>
                                    </w:tblPr>
                                    <w:tblGrid>
                                      <w:gridCol w:w="4500"/>
                                    </w:tblGrid>
                                    <w:tr w:rsidR="007E3DAC" w14:paraId="255DBA35" w14:textId="77777777">
                                      <w:trPr>
                                        <w:jc w:val="center"/>
                                      </w:trPr>
                                      <w:tc>
                                        <w:tcPr>
                                          <w:tcW w:w="0" w:type="auto"/>
                                          <w:tcMar>
                                            <w:top w:w="225" w:type="dxa"/>
                                            <w:left w:w="225" w:type="dxa"/>
                                            <w:bottom w:w="225" w:type="dxa"/>
                                            <w:right w:w="225" w:type="dxa"/>
                                          </w:tcMar>
                                          <w:vAlign w:val="center"/>
                                          <w:hideMark/>
                                        </w:tcPr>
                                        <w:p w14:paraId="0691E07C" w14:textId="77777777" w:rsidR="007E3DAC" w:rsidRDefault="007E3DAC">
                                          <w:pPr>
                                            <w:pStyle w:val="NormalWeb"/>
                                            <w:spacing w:before="0" w:beforeAutospacing="0" w:after="225" w:afterAutospacing="0"/>
                                            <w:rPr>
                                              <w:rFonts w:ascii="Helvetica" w:hAnsi="Helvetica" w:cs="Helvetica"/>
                                              <w:sz w:val="23"/>
                                              <w:szCs w:val="23"/>
                                            </w:rPr>
                                          </w:pPr>
                                          <w:r>
                                            <w:rPr>
                                              <w:rStyle w:val="Strong"/>
                                              <w:rFonts w:ascii="Helvetica" w:hAnsi="Helvetica" w:cs="Helvetica"/>
                                              <w:sz w:val="23"/>
                                              <w:szCs w:val="23"/>
                                            </w:rPr>
                                            <w:t>FOR IMMEDIATE RELEASE</w:t>
                                          </w:r>
                                          <w:r>
                                            <w:rPr>
                                              <w:rFonts w:ascii="Helvetica" w:hAnsi="Helvetica" w:cs="Helvetica"/>
                                              <w:b/>
                                              <w:bCs/>
                                              <w:sz w:val="23"/>
                                              <w:szCs w:val="23"/>
                                            </w:rPr>
                                            <w:br/>
                                          </w:r>
                                          <w:r>
                                            <w:rPr>
                                              <w:rFonts w:ascii="Helvetica" w:hAnsi="Helvetica" w:cs="Helvetica"/>
                                              <w:sz w:val="23"/>
                                              <w:szCs w:val="23"/>
                                            </w:rPr>
                                            <w:t>Fri. July 11, 2021</w:t>
                                          </w:r>
                                          <w:r>
                                            <w:rPr>
                                              <w:rFonts w:ascii="Helvetica" w:hAnsi="Helvetica" w:cs="Helvetica"/>
                                              <w:sz w:val="23"/>
                                              <w:szCs w:val="23"/>
                                            </w:rPr>
                                            <w:br/>
                                          </w:r>
                                          <w:hyperlink r:id="rId5" w:tgtFrame="_blank" w:history="1">
                                            <w:r>
                                              <w:rPr>
                                                <w:rStyle w:val="Hyperlink"/>
                                                <w:rFonts w:ascii="Helvetica" w:hAnsi="Helvetica" w:cs="Helvetica"/>
                                                <w:color w:val="1D5782"/>
                                                <w:sz w:val="23"/>
                                                <w:szCs w:val="23"/>
                                              </w:rPr>
                                              <w:t>dhewd.mo.gov </w:t>
                                            </w:r>
                                          </w:hyperlink>
                                        </w:p>
                                      </w:tc>
                                    </w:tr>
                                  </w:tbl>
                                  <w:p w14:paraId="17BD4FD5" w14:textId="77777777" w:rsidR="007E3DAC" w:rsidRDefault="007E3DAC">
                                    <w:pPr>
                                      <w:jc w:val="center"/>
                                      <w:rPr>
                                        <w:rFonts w:ascii="Times New Roman" w:eastAsia="Times New Roman" w:hAnsi="Times New Roman" w:cs="Times New Roman"/>
                                        <w:sz w:val="20"/>
                                        <w:szCs w:val="20"/>
                                      </w:rPr>
                                    </w:pPr>
                                  </w:p>
                                </w:tc>
                                <w:tc>
                                  <w:tcPr>
                                    <w:tcW w:w="4500" w:type="dxa"/>
                                    <w:hideMark/>
                                  </w:tcPr>
                                  <w:tbl>
                                    <w:tblPr>
                                      <w:tblW w:w="5000" w:type="pct"/>
                                      <w:jc w:val="center"/>
                                      <w:tblCellMar>
                                        <w:left w:w="0" w:type="dxa"/>
                                        <w:right w:w="0" w:type="dxa"/>
                                      </w:tblCellMar>
                                      <w:tblLook w:val="04A0" w:firstRow="1" w:lastRow="0" w:firstColumn="1" w:lastColumn="0" w:noHBand="0" w:noVBand="1"/>
                                    </w:tblPr>
                                    <w:tblGrid>
                                      <w:gridCol w:w="4500"/>
                                    </w:tblGrid>
                                    <w:tr w:rsidR="007E3DAC" w14:paraId="75762611" w14:textId="77777777">
                                      <w:trPr>
                                        <w:jc w:val="center"/>
                                      </w:trPr>
                                      <w:tc>
                                        <w:tcPr>
                                          <w:tcW w:w="0" w:type="auto"/>
                                          <w:tcMar>
                                            <w:top w:w="225" w:type="dxa"/>
                                            <w:left w:w="225" w:type="dxa"/>
                                            <w:bottom w:w="225" w:type="dxa"/>
                                            <w:right w:w="225" w:type="dxa"/>
                                          </w:tcMar>
                                          <w:vAlign w:val="center"/>
                                          <w:hideMark/>
                                        </w:tcPr>
                                        <w:p w14:paraId="54AC6A48" w14:textId="77777777" w:rsidR="007E3DAC" w:rsidRDefault="007E3DAC">
                                          <w:pPr>
                                            <w:pStyle w:val="NormalWeb"/>
                                            <w:spacing w:before="0" w:beforeAutospacing="0" w:after="225" w:afterAutospacing="0"/>
                                            <w:rPr>
                                              <w:rFonts w:ascii="Helvetica" w:hAnsi="Helvetica" w:cs="Helvetica"/>
                                              <w:sz w:val="23"/>
                                              <w:szCs w:val="23"/>
                                            </w:rPr>
                                          </w:pPr>
                                          <w:r>
                                            <w:rPr>
                                              <w:rStyle w:val="Strong"/>
                                              <w:rFonts w:ascii="Helvetica" w:hAnsi="Helvetica" w:cs="Helvetica"/>
                                              <w:sz w:val="23"/>
                                              <w:szCs w:val="23"/>
                                            </w:rPr>
                                            <w:t>CONTACT: </w:t>
                                          </w:r>
                                          <w:r>
                                            <w:rPr>
                                              <w:rFonts w:ascii="Helvetica" w:hAnsi="Helvetica" w:cs="Helvetica"/>
                                              <w:sz w:val="23"/>
                                              <w:szCs w:val="23"/>
                                            </w:rPr>
                                            <w:br/>
                                            <w:t>Jessica Duren</w:t>
                                          </w:r>
                                          <w:r>
                                            <w:rPr>
                                              <w:rFonts w:ascii="Helvetica" w:hAnsi="Helvetica" w:cs="Helvetica"/>
                                              <w:sz w:val="23"/>
                                              <w:szCs w:val="23"/>
                                            </w:rPr>
                                            <w:br/>
                                            <w:t>Phone: 573-522-1312</w:t>
                                          </w:r>
                                          <w:r>
                                            <w:rPr>
                                              <w:rFonts w:ascii="Helvetica" w:hAnsi="Helvetica" w:cs="Helvetica"/>
                                              <w:sz w:val="23"/>
                                              <w:szCs w:val="23"/>
                                            </w:rPr>
                                            <w:br/>
                                          </w:r>
                                          <w:hyperlink r:id="rId6" w:tgtFrame="_blank" w:history="1">
                                            <w:r>
                                              <w:rPr>
                                                <w:rStyle w:val="Hyperlink"/>
                                                <w:rFonts w:ascii="Helvetica" w:hAnsi="Helvetica" w:cs="Helvetica"/>
                                                <w:color w:val="1D5782"/>
                                                <w:sz w:val="23"/>
                                                <w:szCs w:val="23"/>
                                              </w:rPr>
                                              <w:t>jessica.duren@dhewd.mo.gov</w:t>
                                            </w:r>
                                          </w:hyperlink>
                                        </w:p>
                                      </w:tc>
                                    </w:tr>
                                  </w:tbl>
                                  <w:p w14:paraId="509F592E" w14:textId="77777777" w:rsidR="007E3DAC" w:rsidRDefault="007E3DAC">
                                    <w:pPr>
                                      <w:jc w:val="center"/>
                                      <w:rPr>
                                        <w:rFonts w:ascii="Times New Roman" w:eastAsia="Times New Roman" w:hAnsi="Times New Roman" w:cs="Times New Roman"/>
                                        <w:sz w:val="20"/>
                                        <w:szCs w:val="20"/>
                                      </w:rPr>
                                    </w:pPr>
                                  </w:p>
                                </w:tc>
                              </w:tr>
                            </w:tbl>
                            <w:p w14:paraId="37A761A8" w14:textId="77777777" w:rsidR="007E3DAC" w:rsidRDefault="007E3DAC">
                              <w:pPr>
                                <w:jc w:val="center"/>
                                <w:rPr>
                                  <w:rFonts w:ascii="Times New Roman" w:eastAsia="Times New Roman" w:hAnsi="Times New Roman" w:cs="Times New Roman"/>
                                  <w:sz w:val="20"/>
                                  <w:szCs w:val="20"/>
                                </w:rPr>
                              </w:pPr>
                            </w:p>
                          </w:tc>
                        </w:tr>
                      </w:tbl>
                      <w:p w14:paraId="3DA8F930" w14:textId="77777777" w:rsidR="007E3DAC" w:rsidRDefault="007E3DAC">
                        <w:pPr>
                          <w:jc w:val="center"/>
                          <w:rPr>
                            <w:rFonts w:ascii="Times New Roman" w:eastAsia="Times New Roman" w:hAnsi="Times New Roman" w:cs="Times New Roman"/>
                            <w:sz w:val="20"/>
                            <w:szCs w:val="20"/>
                          </w:rPr>
                        </w:pPr>
                      </w:p>
                    </w:tc>
                  </w:tr>
                </w:tbl>
                <w:p w14:paraId="5C50EC27" w14:textId="77777777" w:rsidR="007E3DAC" w:rsidRDefault="007E3DAC"/>
                <w:tbl>
                  <w:tblPr>
                    <w:tblW w:w="9000" w:type="dxa"/>
                    <w:jc w:val="center"/>
                    <w:tblCellMar>
                      <w:left w:w="0" w:type="dxa"/>
                      <w:right w:w="0" w:type="dxa"/>
                    </w:tblCellMar>
                    <w:tblLook w:val="04A0" w:firstRow="1" w:lastRow="0" w:firstColumn="1" w:lastColumn="0" w:noHBand="0" w:noVBand="1"/>
                  </w:tblPr>
                  <w:tblGrid>
                    <w:gridCol w:w="9000"/>
                  </w:tblGrid>
                  <w:tr w:rsidR="007E3DAC" w14:paraId="2A61A193" w14:textId="77777777">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7E3DAC" w14:paraId="4B553EB1"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000"/>
                              </w:tblGrid>
                              <w:tr w:rsidR="007E3DAC" w14:paraId="6207ABFF" w14:textId="77777777">
                                <w:trPr>
                                  <w:jc w:val="center"/>
                                </w:trPr>
                                <w:tc>
                                  <w:tcPr>
                                    <w:tcW w:w="9000" w:type="dxa"/>
                                    <w:hideMark/>
                                  </w:tcPr>
                                  <w:tbl>
                                    <w:tblPr>
                                      <w:tblW w:w="5000" w:type="pct"/>
                                      <w:jc w:val="center"/>
                                      <w:tblCellMar>
                                        <w:left w:w="0" w:type="dxa"/>
                                        <w:right w:w="0" w:type="dxa"/>
                                      </w:tblCellMar>
                                      <w:tblLook w:val="04A0" w:firstRow="1" w:lastRow="0" w:firstColumn="1" w:lastColumn="0" w:noHBand="0" w:noVBand="1"/>
                                    </w:tblPr>
                                    <w:tblGrid>
                                      <w:gridCol w:w="9000"/>
                                    </w:tblGrid>
                                    <w:tr w:rsidR="007E3DAC" w14:paraId="067EC397" w14:textId="77777777">
                                      <w:trPr>
                                        <w:jc w:val="center"/>
                                      </w:trPr>
                                      <w:tc>
                                        <w:tcPr>
                                          <w:tcW w:w="0" w:type="auto"/>
                                          <w:tcMar>
                                            <w:top w:w="225" w:type="dxa"/>
                                            <w:left w:w="225" w:type="dxa"/>
                                            <w:bottom w:w="225" w:type="dxa"/>
                                            <w:right w:w="225" w:type="dxa"/>
                                          </w:tcMar>
                                          <w:vAlign w:val="center"/>
                                          <w:hideMark/>
                                        </w:tcPr>
                                        <w:p w14:paraId="278077C0" w14:textId="77777777" w:rsidR="007E3DAC" w:rsidRDefault="007E3DAC">
                                          <w:pPr>
                                            <w:pStyle w:val="NormalWeb"/>
                                            <w:spacing w:before="0" w:beforeAutospacing="0" w:after="225" w:afterAutospacing="0"/>
                                            <w:rPr>
                                              <w:rFonts w:ascii="Helvetica" w:hAnsi="Helvetica" w:cs="Helvetica"/>
                                              <w:sz w:val="23"/>
                                              <w:szCs w:val="23"/>
                                            </w:rPr>
                                          </w:pPr>
                                          <w:r>
                                            <w:rPr>
                                              <w:rStyle w:val="Strong"/>
                                              <w:rFonts w:ascii="Helvetica" w:hAnsi="Helvetica" w:cs="Helvetica"/>
                                              <w:sz w:val="23"/>
                                              <w:szCs w:val="23"/>
                                            </w:rPr>
                                            <w:t>Bright Flight increase to include awards for 4</w:t>
                                          </w:r>
                                          <w:r>
                                            <w:rPr>
                                              <w:rStyle w:val="Strong"/>
                                              <w:rFonts w:ascii="Helvetica" w:hAnsi="Helvetica" w:cs="Helvetica"/>
                                              <w:sz w:val="23"/>
                                              <w:szCs w:val="23"/>
                                              <w:vertAlign w:val="superscript"/>
                                            </w:rPr>
                                            <w:t>th</w:t>
                                          </w:r>
                                          <w:r>
                                            <w:rPr>
                                              <w:rStyle w:val="Strong"/>
                                              <w:rFonts w:ascii="Helvetica" w:hAnsi="Helvetica" w:cs="Helvetica"/>
                                              <w:sz w:val="23"/>
                                              <w:szCs w:val="23"/>
                                            </w:rPr>
                                            <w:t xml:space="preserve"> and 5</w:t>
                                          </w:r>
                                          <w:r>
                                            <w:rPr>
                                              <w:rStyle w:val="Strong"/>
                                              <w:rFonts w:ascii="Helvetica" w:hAnsi="Helvetica" w:cs="Helvetica"/>
                                              <w:sz w:val="23"/>
                                              <w:szCs w:val="23"/>
                                              <w:vertAlign w:val="superscript"/>
                                            </w:rPr>
                                            <w:t>th</w:t>
                                          </w:r>
                                          <w:r>
                                            <w:rPr>
                                              <w:rStyle w:val="Strong"/>
                                              <w:rFonts w:ascii="Helvetica" w:hAnsi="Helvetica" w:cs="Helvetica"/>
                                              <w:sz w:val="23"/>
                                              <w:szCs w:val="23"/>
                                            </w:rPr>
                                            <w:t xml:space="preserve"> percentile for first time in program’s history</w:t>
                                          </w:r>
                                          <w:r>
                                            <w:rPr>
                                              <w:rFonts w:ascii="Helvetica" w:hAnsi="Helvetica" w:cs="Helvetica"/>
                                              <w:b/>
                                              <w:bCs/>
                                              <w:sz w:val="23"/>
                                              <w:szCs w:val="23"/>
                                            </w:rPr>
                                            <w:br/>
                                          </w:r>
                                          <w:r>
                                            <w:rPr>
                                              <w:rStyle w:val="Emphasis"/>
                                              <w:rFonts w:ascii="Helvetica" w:hAnsi="Helvetica" w:cs="Helvetica"/>
                                              <w:sz w:val="23"/>
                                              <w:szCs w:val="23"/>
                                            </w:rPr>
                                            <w:t>2018-2022 seniors scoring 30 on their ACT may be eligible for award payments</w:t>
                                          </w:r>
                                        </w:p>
                                      </w:tc>
                                    </w:tr>
                                  </w:tbl>
                                  <w:p w14:paraId="48222C3B" w14:textId="77777777" w:rsidR="007E3DAC" w:rsidRDefault="007E3DAC">
                                    <w:pPr>
                                      <w:jc w:val="center"/>
                                      <w:rPr>
                                        <w:rFonts w:ascii="Times New Roman" w:eastAsia="Times New Roman" w:hAnsi="Times New Roman" w:cs="Times New Roman"/>
                                        <w:sz w:val="20"/>
                                        <w:szCs w:val="20"/>
                                      </w:rPr>
                                    </w:pPr>
                                  </w:p>
                                </w:tc>
                              </w:tr>
                            </w:tbl>
                            <w:p w14:paraId="5B5E4A4C" w14:textId="77777777" w:rsidR="007E3DAC" w:rsidRDefault="007E3DAC">
                              <w:pPr>
                                <w:jc w:val="center"/>
                                <w:rPr>
                                  <w:rFonts w:ascii="Times New Roman" w:eastAsia="Times New Roman" w:hAnsi="Times New Roman" w:cs="Times New Roman"/>
                                  <w:sz w:val="20"/>
                                  <w:szCs w:val="20"/>
                                </w:rPr>
                              </w:pPr>
                            </w:p>
                          </w:tc>
                        </w:tr>
                      </w:tbl>
                      <w:p w14:paraId="2052FA86" w14:textId="77777777" w:rsidR="007E3DAC" w:rsidRDefault="007E3DAC">
                        <w:pPr>
                          <w:jc w:val="center"/>
                          <w:rPr>
                            <w:rFonts w:ascii="Times New Roman" w:eastAsia="Times New Roman" w:hAnsi="Times New Roman" w:cs="Times New Roman"/>
                            <w:sz w:val="20"/>
                            <w:szCs w:val="20"/>
                          </w:rPr>
                        </w:pPr>
                      </w:p>
                    </w:tc>
                  </w:tr>
                </w:tbl>
                <w:p w14:paraId="7E805565" w14:textId="77777777" w:rsidR="007E3DAC" w:rsidRDefault="007E3DAC"/>
                <w:tbl>
                  <w:tblPr>
                    <w:tblW w:w="9000" w:type="dxa"/>
                    <w:jc w:val="center"/>
                    <w:tblCellMar>
                      <w:left w:w="0" w:type="dxa"/>
                      <w:right w:w="0" w:type="dxa"/>
                    </w:tblCellMar>
                    <w:tblLook w:val="04A0" w:firstRow="1" w:lastRow="0" w:firstColumn="1" w:lastColumn="0" w:noHBand="0" w:noVBand="1"/>
                  </w:tblPr>
                  <w:tblGrid>
                    <w:gridCol w:w="9000"/>
                  </w:tblGrid>
                  <w:tr w:rsidR="007E3DAC" w14:paraId="05377651" w14:textId="77777777">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7E3DAC" w14:paraId="3CB6D148"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000"/>
                              </w:tblGrid>
                              <w:tr w:rsidR="007E3DAC" w14:paraId="2CA0A898" w14:textId="77777777">
                                <w:trPr>
                                  <w:jc w:val="center"/>
                                </w:trPr>
                                <w:tc>
                                  <w:tcPr>
                                    <w:tcW w:w="9000" w:type="dxa"/>
                                    <w:hideMark/>
                                  </w:tcPr>
                                  <w:tbl>
                                    <w:tblPr>
                                      <w:tblW w:w="5000" w:type="pct"/>
                                      <w:jc w:val="center"/>
                                      <w:tblCellMar>
                                        <w:left w:w="0" w:type="dxa"/>
                                        <w:right w:w="0" w:type="dxa"/>
                                      </w:tblCellMar>
                                      <w:tblLook w:val="04A0" w:firstRow="1" w:lastRow="0" w:firstColumn="1" w:lastColumn="0" w:noHBand="0" w:noVBand="1"/>
                                    </w:tblPr>
                                    <w:tblGrid>
                                      <w:gridCol w:w="9000"/>
                                    </w:tblGrid>
                                    <w:tr w:rsidR="007E3DAC" w14:paraId="4B535591" w14:textId="77777777">
                                      <w:trPr>
                                        <w:jc w:val="center"/>
                                      </w:trPr>
                                      <w:tc>
                                        <w:tcPr>
                                          <w:tcW w:w="0" w:type="auto"/>
                                          <w:tcMar>
                                            <w:top w:w="225" w:type="dxa"/>
                                            <w:left w:w="225" w:type="dxa"/>
                                            <w:bottom w:w="225" w:type="dxa"/>
                                            <w:right w:w="225" w:type="dxa"/>
                                          </w:tcMar>
                                          <w:vAlign w:val="center"/>
                                          <w:hideMark/>
                                        </w:tcPr>
                                        <w:p w14:paraId="1C591175" w14:textId="77777777" w:rsidR="007E3DAC" w:rsidRDefault="007E3DAC">
                                          <w:pPr>
                                            <w:pStyle w:val="NormalWeb"/>
                                            <w:spacing w:before="0" w:beforeAutospacing="0" w:after="225" w:afterAutospacing="0"/>
                                            <w:rPr>
                                              <w:rFonts w:ascii="Helvetica" w:hAnsi="Helvetica" w:cs="Helvetica"/>
                                              <w:sz w:val="23"/>
                                              <w:szCs w:val="23"/>
                                            </w:rPr>
                                          </w:pPr>
                                          <w:r>
                                            <w:rPr>
                                              <w:rFonts w:ascii="Helvetica" w:hAnsi="Helvetica" w:cs="Helvetica"/>
                                              <w:sz w:val="23"/>
                                              <w:szCs w:val="23"/>
                                            </w:rPr>
                                            <w:t>The Missouri Department of Higher Education &amp; Workforce Development will be issuing Bright Flight awards to potentially thousands of additional students after a funding increase made to the FY 2023 budget signed last week by Gov. Mike Parson. The Missouri Higher Education Academic Scholarship Program, known as Bright Flight, has historically awarded scholarships to students scoring in the top 3 percent of ACT test takers. Statutory provisions require those students must be fully funded at $3,000 per year, before any payments are made to the students scoring in the 4</w:t>
                                          </w:r>
                                          <w:r>
                                            <w:rPr>
                                              <w:rFonts w:ascii="Helvetica" w:hAnsi="Helvetica" w:cs="Helvetica"/>
                                              <w:sz w:val="23"/>
                                              <w:szCs w:val="23"/>
                                              <w:vertAlign w:val="superscript"/>
                                            </w:rPr>
                                            <w:t>th</w:t>
                                          </w:r>
                                          <w:r>
                                            <w:rPr>
                                              <w:rFonts w:ascii="Helvetica" w:hAnsi="Helvetica" w:cs="Helvetica"/>
                                              <w:sz w:val="23"/>
                                              <w:szCs w:val="23"/>
                                            </w:rPr>
                                            <w:t xml:space="preserve"> and 5</w:t>
                                          </w:r>
                                          <w:r>
                                            <w:rPr>
                                              <w:rFonts w:ascii="Helvetica" w:hAnsi="Helvetica" w:cs="Helvetica"/>
                                              <w:sz w:val="23"/>
                                              <w:szCs w:val="23"/>
                                              <w:vertAlign w:val="superscript"/>
                                            </w:rPr>
                                            <w:t>th</w:t>
                                          </w:r>
                                          <w:r>
                                            <w:rPr>
                                              <w:rFonts w:ascii="Helvetica" w:hAnsi="Helvetica" w:cs="Helvetica"/>
                                              <w:sz w:val="23"/>
                                              <w:szCs w:val="23"/>
                                            </w:rPr>
                                            <w:t xml:space="preserve"> percentiles. The FY 2023 budget increases the amount the department </w:t>
                                          </w:r>
                                          <w:proofErr w:type="gramStart"/>
                                          <w:r>
                                            <w:rPr>
                                              <w:rFonts w:ascii="Helvetica" w:hAnsi="Helvetica" w:cs="Helvetica"/>
                                              <w:sz w:val="23"/>
                                              <w:szCs w:val="23"/>
                                            </w:rPr>
                                            <w:t>has to</w:t>
                                          </w:r>
                                          <w:proofErr w:type="gramEnd"/>
                                          <w:r>
                                            <w:rPr>
                                              <w:rFonts w:ascii="Helvetica" w:hAnsi="Helvetica" w:cs="Helvetica"/>
                                              <w:sz w:val="23"/>
                                              <w:szCs w:val="23"/>
                                            </w:rPr>
                                            <w:t xml:space="preserve"> spend for this program by $3.5 million, enough that Class of 2022 seniors scoring a 30 on the ACT will be eligible for an award of up to $1,000 this year.</w:t>
                                          </w:r>
                                        </w:p>
                                        <w:p w14:paraId="1FFF8275" w14:textId="77777777" w:rsidR="007E3DAC" w:rsidRDefault="007E3DAC">
                                          <w:pPr>
                                            <w:pStyle w:val="NormalWeb"/>
                                            <w:spacing w:before="0" w:beforeAutospacing="0" w:after="225" w:afterAutospacing="0"/>
                                            <w:rPr>
                                              <w:rFonts w:ascii="Helvetica" w:hAnsi="Helvetica" w:cs="Helvetica"/>
                                              <w:sz w:val="23"/>
                                              <w:szCs w:val="23"/>
                                            </w:rPr>
                                          </w:pPr>
                                          <w:r>
                                            <w:rPr>
                                              <w:rFonts w:ascii="Helvetica" w:hAnsi="Helvetica" w:cs="Helvetica"/>
                                              <w:sz w:val="23"/>
                                              <w:szCs w:val="23"/>
                                            </w:rPr>
                                            <w:t>Any Class of 2018 to Class of 2021 seniors who also scored a 30 on their ACT, may be eligible as well. Bright Flight is a renewable scholarship for students who maintain eligibility for up to 10 semesters or until a student completes their bachelor’s degree, whichever occurs first. Students in the 4</w:t>
                                          </w:r>
                                          <w:r>
                                            <w:rPr>
                                              <w:rFonts w:ascii="Helvetica" w:hAnsi="Helvetica" w:cs="Helvetica"/>
                                              <w:sz w:val="23"/>
                                              <w:szCs w:val="23"/>
                                              <w:vertAlign w:val="superscript"/>
                                            </w:rPr>
                                            <w:t>th</w:t>
                                          </w:r>
                                          <w:r>
                                            <w:rPr>
                                              <w:rFonts w:ascii="Helvetica" w:hAnsi="Helvetica" w:cs="Helvetica"/>
                                              <w:sz w:val="23"/>
                                              <w:szCs w:val="23"/>
                                            </w:rPr>
                                            <w:t xml:space="preserve"> and 5</w:t>
                                          </w:r>
                                          <w:r>
                                            <w:rPr>
                                              <w:rFonts w:ascii="Helvetica" w:hAnsi="Helvetica" w:cs="Helvetica"/>
                                              <w:sz w:val="23"/>
                                              <w:szCs w:val="23"/>
                                              <w:vertAlign w:val="superscript"/>
                                            </w:rPr>
                                            <w:t>th</w:t>
                                          </w:r>
                                          <w:r>
                                            <w:rPr>
                                              <w:rFonts w:ascii="Helvetica" w:hAnsi="Helvetica" w:cs="Helvetica"/>
                                              <w:sz w:val="23"/>
                                              <w:szCs w:val="23"/>
                                            </w:rPr>
                                            <w:t xml:space="preserve"> percentiles who have maintained eligibility and are still enrolled at a Missouri college or university will be eligible for an award, also up to $1,000, this year.</w:t>
                                          </w:r>
                                        </w:p>
                                        <w:p w14:paraId="283C8AE3" w14:textId="77777777" w:rsidR="007E3DAC" w:rsidRDefault="007E3DAC">
                                          <w:pPr>
                                            <w:pStyle w:val="NormalWeb"/>
                                            <w:spacing w:before="0" w:beforeAutospacing="0" w:after="225" w:afterAutospacing="0"/>
                                            <w:rPr>
                                              <w:rFonts w:ascii="Helvetica" w:hAnsi="Helvetica" w:cs="Helvetica"/>
                                              <w:sz w:val="23"/>
                                              <w:szCs w:val="23"/>
                                            </w:rPr>
                                          </w:pPr>
                                          <w:r>
                                            <w:rPr>
                                              <w:rFonts w:ascii="Helvetica" w:hAnsi="Helvetica" w:cs="Helvetica"/>
                                              <w:sz w:val="23"/>
                                              <w:szCs w:val="23"/>
                                            </w:rPr>
                                            <w:t xml:space="preserve">“This type of funding increase is exciting,” Leroy Wade, interim commissioner of higher education said. “However, we need help from both our colleges and </w:t>
                                          </w:r>
                                          <w:r>
                                            <w:rPr>
                                              <w:rFonts w:ascii="Helvetica" w:hAnsi="Helvetica" w:cs="Helvetica"/>
                                              <w:sz w:val="23"/>
                                              <w:szCs w:val="23"/>
                                            </w:rPr>
                                            <w:lastRenderedPageBreak/>
                                            <w:t>universities, and from these eligible students in order to make these payments happen.”</w:t>
                                          </w:r>
                                        </w:p>
                                        <w:p w14:paraId="35A8EBC6" w14:textId="77777777" w:rsidR="007E3DAC" w:rsidRDefault="007E3DAC">
                                          <w:pPr>
                                            <w:pStyle w:val="NormalWeb"/>
                                            <w:spacing w:before="0" w:beforeAutospacing="0" w:after="225" w:afterAutospacing="0"/>
                                            <w:rPr>
                                              <w:rFonts w:ascii="Helvetica" w:hAnsi="Helvetica" w:cs="Helvetica"/>
                                              <w:sz w:val="23"/>
                                              <w:szCs w:val="23"/>
                                            </w:rPr>
                                          </w:pPr>
                                          <w:r>
                                            <w:rPr>
                                              <w:rFonts w:ascii="Helvetica" w:hAnsi="Helvetica" w:cs="Helvetica"/>
                                              <w:sz w:val="23"/>
                                              <w:szCs w:val="23"/>
                                            </w:rPr>
                                            <w:t xml:space="preserve">MDHEWD needs to know where these eligible students are currently enrolled </w:t>
                                          </w:r>
                                          <w:proofErr w:type="gramStart"/>
                                          <w:r>
                                            <w:rPr>
                                              <w:rFonts w:ascii="Helvetica" w:hAnsi="Helvetica" w:cs="Helvetica"/>
                                              <w:sz w:val="23"/>
                                              <w:szCs w:val="23"/>
                                            </w:rPr>
                                            <w:t>in order to</w:t>
                                          </w:r>
                                          <w:proofErr w:type="gramEnd"/>
                                          <w:r>
                                            <w:rPr>
                                              <w:rFonts w:ascii="Helvetica" w:hAnsi="Helvetica" w:cs="Helvetica"/>
                                              <w:sz w:val="23"/>
                                              <w:szCs w:val="23"/>
                                            </w:rPr>
                                            <w:t xml:space="preserve"> issue the scholarships to their student accounts. The best way to help the department understand this information is for all Class of 2018-2022 seniors who scored a 30 on their ACT to log on to the Missouri State Student Financial Aid Portal and to update their number one school choice to their current college or university. MDHEWD will also be reaching out to potentially eligible students as well as institutions to ask for their help in communicating with their students that fit these eligibility requirements.</w:t>
                                          </w:r>
                                        </w:p>
                                        <w:p w14:paraId="2C69E572" w14:textId="77777777" w:rsidR="007E3DAC" w:rsidRDefault="007E3DAC">
                                          <w:pPr>
                                            <w:pStyle w:val="NormalWeb"/>
                                            <w:spacing w:before="0" w:beforeAutospacing="0" w:after="225" w:afterAutospacing="0"/>
                                            <w:rPr>
                                              <w:rFonts w:ascii="Helvetica" w:hAnsi="Helvetica" w:cs="Helvetica"/>
                                              <w:sz w:val="23"/>
                                              <w:szCs w:val="23"/>
                                            </w:rPr>
                                          </w:pPr>
                                          <w:r>
                                            <w:rPr>
                                              <w:rFonts w:ascii="Helvetica" w:hAnsi="Helvetica" w:cs="Helvetica"/>
                                              <w:sz w:val="23"/>
                                              <w:szCs w:val="23"/>
                                            </w:rPr>
                                            <w:t xml:space="preserve">Students can find the link to the Student Portal at </w:t>
                                          </w:r>
                                          <w:hyperlink r:id="rId7" w:history="1">
                                            <w:r>
                                              <w:rPr>
                                                <w:rStyle w:val="Hyperlink"/>
                                                <w:rFonts w:ascii="Helvetica" w:hAnsi="Helvetica" w:cs="Helvetica"/>
                                                <w:color w:val="1D5782"/>
                                                <w:sz w:val="23"/>
                                                <w:szCs w:val="23"/>
                                              </w:rPr>
                                              <w:t>journeytocollege.mo.gov</w:t>
                                            </w:r>
                                          </w:hyperlink>
                                          <w:r>
                                            <w:rPr>
                                              <w:rFonts w:ascii="Helvetica" w:hAnsi="Helvetica" w:cs="Helvetica"/>
                                              <w:sz w:val="23"/>
                                              <w:szCs w:val="23"/>
                                            </w:rPr>
                                            <w:t xml:space="preserve"> or go directly to the site at </w:t>
                                          </w:r>
                                          <w:hyperlink r:id="rId8" w:history="1">
                                            <w:r>
                                              <w:rPr>
                                                <w:rStyle w:val="Hyperlink"/>
                                                <w:rFonts w:ascii="Helvetica" w:hAnsi="Helvetica" w:cs="Helvetica"/>
                                                <w:color w:val="1D5782"/>
                                                <w:sz w:val="23"/>
                                                <w:szCs w:val="23"/>
                                              </w:rPr>
                                              <w:t>https://web.dhewd.mo.gov/studentportal/</w:t>
                                            </w:r>
                                          </w:hyperlink>
                                          <w:r>
                                            <w:rPr>
                                              <w:rFonts w:ascii="Helvetica" w:hAnsi="Helvetica" w:cs="Helvetica"/>
                                              <w:sz w:val="23"/>
                                              <w:szCs w:val="23"/>
                                            </w:rPr>
                                            <w:t>. Students who have not logged on in recent months may be asked to reset their passwords. From the homepage of the portal, users can select the “My School Choices” from the top menu bar. They’ll need to select the academic year 2022-2023, and then select the school in which they’ll be enrolled this year from the dropdown selection, hitting “Add school” and then “Save” before navigating from that page. </w:t>
                                          </w:r>
                                        </w:p>
                                        <w:p w14:paraId="75940A12" w14:textId="77777777" w:rsidR="007E3DAC" w:rsidRDefault="007E3DAC">
                                          <w:pPr>
                                            <w:pStyle w:val="NormalWeb"/>
                                            <w:spacing w:before="0" w:beforeAutospacing="0" w:after="225" w:afterAutospacing="0"/>
                                            <w:rPr>
                                              <w:rFonts w:ascii="Helvetica" w:hAnsi="Helvetica" w:cs="Helvetica"/>
                                              <w:sz w:val="23"/>
                                              <w:szCs w:val="23"/>
                                            </w:rPr>
                                          </w:pPr>
                                          <w:r>
                                            <w:rPr>
                                              <w:rFonts w:ascii="Helvetica" w:hAnsi="Helvetica" w:cs="Helvetica"/>
                                              <w:sz w:val="23"/>
                                              <w:szCs w:val="23"/>
                                            </w:rPr>
                                            <w:t>Funding for the 4</w:t>
                                          </w:r>
                                          <w:r>
                                            <w:rPr>
                                              <w:rFonts w:ascii="Helvetica" w:hAnsi="Helvetica" w:cs="Helvetica"/>
                                              <w:sz w:val="23"/>
                                              <w:szCs w:val="23"/>
                                              <w:vertAlign w:val="superscript"/>
                                            </w:rPr>
                                            <w:t>th</w:t>
                                          </w:r>
                                          <w:r>
                                            <w:rPr>
                                              <w:rFonts w:ascii="Helvetica" w:hAnsi="Helvetica" w:cs="Helvetica"/>
                                              <w:sz w:val="23"/>
                                              <w:szCs w:val="23"/>
                                            </w:rPr>
                                            <w:t xml:space="preserve"> and 5</w:t>
                                          </w:r>
                                          <w:r>
                                            <w:rPr>
                                              <w:rFonts w:ascii="Helvetica" w:hAnsi="Helvetica" w:cs="Helvetica"/>
                                              <w:sz w:val="23"/>
                                              <w:szCs w:val="23"/>
                                              <w:vertAlign w:val="superscript"/>
                                            </w:rPr>
                                            <w:t>th</w:t>
                                          </w:r>
                                          <w:r>
                                            <w:rPr>
                                              <w:rFonts w:ascii="Helvetica" w:hAnsi="Helvetica" w:cs="Helvetica"/>
                                              <w:sz w:val="23"/>
                                              <w:szCs w:val="23"/>
                                            </w:rPr>
                                            <w:t xml:space="preserve"> percentile test takers has never happened in the history of the program. Whether or not the increased funding will continue will be subject to appropriation next year.</w:t>
                                          </w:r>
                                        </w:p>
                                      </w:tc>
                                    </w:tr>
                                  </w:tbl>
                                  <w:p w14:paraId="57066D6C" w14:textId="77777777" w:rsidR="007E3DAC" w:rsidRDefault="007E3DAC">
                                    <w:pPr>
                                      <w:jc w:val="center"/>
                                      <w:rPr>
                                        <w:rFonts w:ascii="Times New Roman" w:eastAsia="Times New Roman" w:hAnsi="Times New Roman" w:cs="Times New Roman"/>
                                        <w:sz w:val="20"/>
                                        <w:szCs w:val="20"/>
                                      </w:rPr>
                                    </w:pPr>
                                  </w:p>
                                </w:tc>
                              </w:tr>
                            </w:tbl>
                            <w:p w14:paraId="2A709953" w14:textId="77777777" w:rsidR="007E3DAC" w:rsidRDefault="007E3DAC">
                              <w:pPr>
                                <w:jc w:val="center"/>
                                <w:rPr>
                                  <w:rFonts w:ascii="Times New Roman" w:eastAsia="Times New Roman" w:hAnsi="Times New Roman" w:cs="Times New Roman"/>
                                  <w:sz w:val="20"/>
                                  <w:szCs w:val="20"/>
                                </w:rPr>
                              </w:pPr>
                            </w:p>
                          </w:tc>
                        </w:tr>
                      </w:tbl>
                      <w:p w14:paraId="4C877F9D" w14:textId="77777777" w:rsidR="007E3DAC" w:rsidRDefault="007E3DAC">
                        <w:pPr>
                          <w:jc w:val="center"/>
                          <w:rPr>
                            <w:rFonts w:ascii="Times New Roman" w:eastAsia="Times New Roman" w:hAnsi="Times New Roman" w:cs="Times New Roman"/>
                            <w:sz w:val="20"/>
                            <w:szCs w:val="20"/>
                          </w:rPr>
                        </w:pPr>
                      </w:p>
                    </w:tc>
                  </w:tr>
                </w:tbl>
                <w:p w14:paraId="3BC2B175" w14:textId="77777777" w:rsidR="007E3DAC" w:rsidRDefault="007E3DAC"/>
                <w:tbl>
                  <w:tblPr>
                    <w:tblW w:w="9000" w:type="dxa"/>
                    <w:jc w:val="center"/>
                    <w:tblCellMar>
                      <w:left w:w="0" w:type="dxa"/>
                      <w:right w:w="0" w:type="dxa"/>
                    </w:tblCellMar>
                    <w:tblLook w:val="04A0" w:firstRow="1" w:lastRow="0" w:firstColumn="1" w:lastColumn="0" w:noHBand="0" w:noVBand="1"/>
                  </w:tblPr>
                  <w:tblGrid>
                    <w:gridCol w:w="9000"/>
                  </w:tblGrid>
                  <w:tr w:rsidR="007E3DAC" w14:paraId="4C0B7734" w14:textId="77777777">
                    <w:trPr>
                      <w:jc w:val="center"/>
                    </w:trPr>
                    <w:tc>
                      <w:tcPr>
                        <w:tcW w:w="0" w:type="auto"/>
                        <w:vAlign w:val="center"/>
                        <w:hideMark/>
                      </w:tcPr>
                      <w:tbl>
                        <w:tblPr>
                          <w:tblW w:w="9000" w:type="dxa"/>
                          <w:jc w:val="center"/>
                          <w:tblCellMar>
                            <w:left w:w="0" w:type="dxa"/>
                            <w:right w:w="0" w:type="dxa"/>
                          </w:tblCellMar>
                          <w:tblLook w:val="04A0" w:firstRow="1" w:lastRow="0" w:firstColumn="1" w:lastColumn="0" w:noHBand="0" w:noVBand="1"/>
                        </w:tblPr>
                        <w:tblGrid>
                          <w:gridCol w:w="9000"/>
                        </w:tblGrid>
                        <w:tr w:rsidR="007E3DAC" w14:paraId="271DBB92"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000"/>
                              </w:tblGrid>
                              <w:tr w:rsidR="007E3DAC" w14:paraId="488C3D50" w14:textId="77777777">
                                <w:trPr>
                                  <w:jc w:val="center"/>
                                </w:trPr>
                                <w:tc>
                                  <w:tcPr>
                                    <w:tcW w:w="9000" w:type="dxa"/>
                                    <w:hideMark/>
                                  </w:tcPr>
                                  <w:tbl>
                                    <w:tblPr>
                                      <w:tblW w:w="5000" w:type="pct"/>
                                      <w:jc w:val="center"/>
                                      <w:tblCellMar>
                                        <w:left w:w="0" w:type="dxa"/>
                                        <w:right w:w="0" w:type="dxa"/>
                                      </w:tblCellMar>
                                      <w:tblLook w:val="04A0" w:firstRow="1" w:lastRow="0" w:firstColumn="1" w:lastColumn="0" w:noHBand="0" w:noVBand="1"/>
                                    </w:tblPr>
                                    <w:tblGrid>
                                      <w:gridCol w:w="9000"/>
                                    </w:tblGrid>
                                    <w:tr w:rsidR="007E3DAC" w14:paraId="2BF51A47" w14:textId="77777777">
                                      <w:trPr>
                                        <w:jc w:val="center"/>
                                      </w:trPr>
                                      <w:tc>
                                        <w:tcPr>
                                          <w:tcW w:w="0" w:type="auto"/>
                                          <w:tcMar>
                                            <w:top w:w="225" w:type="dxa"/>
                                            <w:left w:w="225" w:type="dxa"/>
                                            <w:bottom w:w="225" w:type="dxa"/>
                                            <w:right w:w="225" w:type="dxa"/>
                                          </w:tcMar>
                                          <w:vAlign w:val="center"/>
                                          <w:hideMark/>
                                        </w:tcPr>
                                        <w:p w14:paraId="371E998A" w14:textId="77777777" w:rsidR="007E3DAC" w:rsidRDefault="007E3DAC">
                                          <w:pPr>
                                            <w:pStyle w:val="NormalWeb"/>
                                            <w:spacing w:before="0" w:beforeAutospacing="0" w:after="225" w:afterAutospacing="0"/>
                                            <w:rPr>
                                              <w:rFonts w:ascii="Helvetica" w:hAnsi="Helvetica" w:cs="Helvetica"/>
                                              <w:sz w:val="23"/>
                                              <w:szCs w:val="23"/>
                                            </w:rPr>
                                          </w:pPr>
                                          <w:r>
                                            <w:rPr>
                                              <w:rStyle w:val="Strong"/>
                                              <w:rFonts w:ascii="Helvetica" w:hAnsi="Helvetica" w:cs="Helvetica"/>
                                              <w:sz w:val="23"/>
                                              <w:szCs w:val="23"/>
                                            </w:rPr>
                                            <w:t>About the Missouri Department of Higher Education &amp; Workforce Development:</w:t>
                                          </w:r>
                                          <w:r>
                                            <w:rPr>
                                              <w:rFonts w:ascii="Helvetica" w:hAnsi="Helvetica" w:cs="Helvetica"/>
                                              <w:sz w:val="23"/>
                                              <w:szCs w:val="23"/>
                                            </w:rPr>
                                            <w:t xml:space="preserve"> The department works to empower Missourians with the skills and education needed for success. More information about MDHEWD can be found at </w:t>
                                          </w:r>
                                          <w:hyperlink r:id="rId9" w:history="1">
                                            <w:r>
                                              <w:rPr>
                                                <w:rStyle w:val="Hyperlink"/>
                                                <w:rFonts w:ascii="Helvetica" w:hAnsi="Helvetica" w:cs="Helvetica"/>
                                                <w:color w:val="1D5782"/>
                                                <w:sz w:val="23"/>
                                                <w:szCs w:val="23"/>
                                              </w:rPr>
                                              <w:t>https://dhewd.mo.gov</w:t>
                                            </w:r>
                                          </w:hyperlink>
                                          <w:r>
                                            <w:rPr>
                                              <w:rFonts w:ascii="Helvetica" w:hAnsi="Helvetica" w:cs="Helvetica"/>
                                              <w:sz w:val="23"/>
                                              <w:szCs w:val="23"/>
                                            </w:rPr>
                                            <w:t xml:space="preserve"> or on Facebook and Twitter @MoDHEWD.</w:t>
                                          </w:r>
                                        </w:p>
                                      </w:tc>
                                    </w:tr>
                                  </w:tbl>
                                  <w:p w14:paraId="74FDD2C8" w14:textId="77777777" w:rsidR="007E3DAC" w:rsidRDefault="007E3DAC">
                                    <w:pPr>
                                      <w:jc w:val="center"/>
                                      <w:rPr>
                                        <w:rFonts w:ascii="Times New Roman" w:eastAsia="Times New Roman" w:hAnsi="Times New Roman" w:cs="Times New Roman"/>
                                        <w:sz w:val="20"/>
                                        <w:szCs w:val="20"/>
                                      </w:rPr>
                                    </w:pPr>
                                  </w:p>
                                </w:tc>
                              </w:tr>
                            </w:tbl>
                            <w:p w14:paraId="47190D3D" w14:textId="77777777" w:rsidR="007E3DAC" w:rsidRDefault="007E3DAC">
                              <w:pPr>
                                <w:jc w:val="center"/>
                                <w:rPr>
                                  <w:rFonts w:ascii="Times New Roman" w:eastAsia="Times New Roman" w:hAnsi="Times New Roman" w:cs="Times New Roman"/>
                                  <w:sz w:val="20"/>
                                  <w:szCs w:val="20"/>
                                </w:rPr>
                              </w:pPr>
                            </w:p>
                          </w:tc>
                        </w:tr>
                      </w:tbl>
                      <w:p w14:paraId="3AB1A4C9" w14:textId="77777777" w:rsidR="007E3DAC" w:rsidRDefault="007E3DAC">
                        <w:pPr>
                          <w:jc w:val="center"/>
                          <w:rPr>
                            <w:rFonts w:ascii="Times New Roman" w:eastAsia="Times New Roman" w:hAnsi="Times New Roman" w:cs="Times New Roman"/>
                            <w:sz w:val="20"/>
                            <w:szCs w:val="20"/>
                          </w:rPr>
                        </w:pPr>
                      </w:p>
                    </w:tc>
                  </w:tr>
                </w:tbl>
                <w:p w14:paraId="6EE8EAF7" w14:textId="77777777" w:rsidR="007E3DAC" w:rsidRDefault="007E3DAC">
                  <w:pPr>
                    <w:jc w:val="center"/>
                    <w:rPr>
                      <w:rFonts w:eastAsia="Times New Roman"/>
                    </w:rPr>
                  </w:pPr>
                </w:p>
              </w:tc>
              <w:tc>
                <w:tcPr>
                  <w:tcW w:w="0" w:type="auto"/>
                  <w:tcMar>
                    <w:top w:w="300" w:type="dxa"/>
                    <w:left w:w="0" w:type="dxa"/>
                    <w:bottom w:w="300" w:type="dxa"/>
                    <w:right w:w="0" w:type="dxa"/>
                  </w:tcMar>
                  <w:vAlign w:val="center"/>
                  <w:hideMark/>
                </w:tcPr>
                <w:p w14:paraId="788B0734" w14:textId="77777777" w:rsidR="007E3DAC" w:rsidRDefault="007E3DAC">
                  <w:pPr>
                    <w:rPr>
                      <w:rFonts w:eastAsia="Times New Roman"/>
                    </w:rPr>
                  </w:pPr>
                </w:p>
              </w:tc>
            </w:tr>
          </w:tbl>
          <w:p w14:paraId="095BB0BF" w14:textId="77777777" w:rsidR="007E3DAC" w:rsidRDefault="007E3DAC">
            <w:pPr>
              <w:jc w:val="center"/>
              <w:rPr>
                <w:rFonts w:ascii="Times New Roman" w:eastAsia="Times New Roman" w:hAnsi="Times New Roman" w:cs="Times New Roman"/>
                <w:sz w:val="20"/>
                <w:szCs w:val="20"/>
              </w:rPr>
            </w:pPr>
          </w:p>
        </w:tc>
      </w:tr>
    </w:tbl>
    <w:p w14:paraId="29D42D8F" w14:textId="77777777" w:rsidR="00C12107" w:rsidRDefault="00C12107"/>
    <w:sectPr w:rsidR="00C12107" w:rsidSect="007E3D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DAC"/>
    <w:rsid w:val="00265424"/>
    <w:rsid w:val="007E3DAC"/>
    <w:rsid w:val="00C12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E659D"/>
  <w15:chartTrackingRefBased/>
  <w15:docId w15:val="{37F9FB8A-6CE0-4790-B51A-9D0B30C01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DA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E3DAC"/>
    <w:rPr>
      <w:color w:val="0000FF"/>
      <w:u w:val="single"/>
    </w:rPr>
  </w:style>
  <w:style w:type="paragraph" w:styleId="NormalWeb">
    <w:name w:val="Normal (Web)"/>
    <w:basedOn w:val="Normal"/>
    <w:uiPriority w:val="99"/>
    <w:semiHidden/>
    <w:unhideWhenUsed/>
    <w:rsid w:val="007E3DAC"/>
    <w:pPr>
      <w:spacing w:before="100" w:beforeAutospacing="1" w:after="100" w:afterAutospacing="1"/>
    </w:pPr>
  </w:style>
  <w:style w:type="character" w:styleId="Strong">
    <w:name w:val="Strong"/>
    <w:basedOn w:val="DefaultParagraphFont"/>
    <w:uiPriority w:val="22"/>
    <w:qFormat/>
    <w:rsid w:val="007E3DAC"/>
    <w:rPr>
      <w:b/>
      <w:bCs/>
    </w:rPr>
  </w:style>
  <w:style w:type="character" w:styleId="Emphasis">
    <w:name w:val="Emphasis"/>
    <w:basedOn w:val="DefaultParagraphFont"/>
    <w:uiPriority w:val="20"/>
    <w:qFormat/>
    <w:rsid w:val="007E3D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1741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nks.gd/l/eyJhbGciOiJIUzI1NiJ9.eyJidWxsZXRpbl9saW5rX2lkIjoxMDIsInVyaSI6ImJwMjpjbGljayIsImJ1bGxldGluX2lkIjoiMjAyMjA3MTEuNjA2MDYxMDEiLCJ1cmwiOiJodHRwczovL3dlYi5kaGV3ZC5tby5nb3Yvc3R1ZGVudHBvcnRhbC8_dXRtX21lZGl1bT1lbWFpbCZ1dG1fc291cmNlPWdvdmRlbGl2ZXJ5In0.u5zZJ-8V6MhJgHxaPl3CTNQN8md9wEiOHagsf9S1bZg/s/1085312218/br/138675168337-l" TargetMode="External"/><Relationship Id="rId3" Type="http://schemas.openxmlformats.org/officeDocument/2006/relationships/webSettings" Target="webSettings.xml"/><Relationship Id="rId7" Type="http://schemas.openxmlformats.org/officeDocument/2006/relationships/hyperlink" Target="https://lnks.gd/l/eyJhbGciOiJIUzI1NiJ9.eyJidWxsZXRpbl9saW5rX2lkIjoxMDEsInVyaSI6ImJwMjpjbGljayIsImJ1bGxldGluX2lkIjoiMjAyMjA3MTEuNjA2MDYxMDEiLCJ1cmwiOiJodHRwczovL2pvdXJuZXl0b2NvbGxlZ2UubW8uZ292Lz91dG1fbWVkaXVtPWVtYWlsJnV0bV9zb3VyY2U9Z292ZGVsaXZlcnkifQ.nWo73pI8v3IOLPFfYZ4icOZiTGEdYbp2k__Q3e90Kvs/s/1085312218/br/138675168337-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essica.duren@dhewd.mo.gov" TargetMode="External"/><Relationship Id="rId11" Type="http://schemas.openxmlformats.org/officeDocument/2006/relationships/theme" Target="theme/theme1.xml"/><Relationship Id="rId5" Type="http://schemas.openxmlformats.org/officeDocument/2006/relationships/hyperlink" Target="https://lnks.gd/l/eyJhbGciOiJIUzI1NiJ9.eyJidWxsZXRpbl9saW5rX2lkIjoxMDAsInVyaSI6ImJwMjpjbGljayIsImJ1bGxldGluX2lkIjoiMjAyMjA3MTEuNjA2MDYxMDEiLCJ1cmwiOiJodHRwczovL2RoZXdkLm1vLmdvdi8_dXRtX21lZGl1bT1lbWFpbCZ1dG1fc291cmNlPWdvdmRlbGl2ZXJ5In0.Yq-MaBprJqBwwjeCwE_Sx4MP4KGEuLwp4V0YVHFs-eE/s/1085312218/br/138675168337-l"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lnks.gd/l/eyJhbGciOiJIUzI1NiJ9.eyJidWxsZXRpbl9saW5rX2lkIjoxMDMsInVyaSI6ImJwMjpjbGljayIsImJ1bGxldGluX2lkIjoiMjAyMjA3MTEuNjA2MDYxMDEiLCJ1cmwiOiJodHRwczovL2RoZXdkLm1vLmdvdj91dG1fbWVkaXVtPWVtYWlsJnV0bV9zb3VyY2U9Z292ZGVsaXZlcnkifQ.6vTny_HRQYBMRpZHoYYNcr5AcybxOSC0Wygi1jPNcD0/s/1085312218/br/138675168337-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Pages>
  <Words>735</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Immesote</dc:creator>
  <cp:keywords/>
  <dc:description/>
  <cp:lastModifiedBy>Kim Immesote</cp:lastModifiedBy>
  <cp:revision>1</cp:revision>
  <dcterms:created xsi:type="dcterms:W3CDTF">2022-08-02T13:23:00Z</dcterms:created>
  <dcterms:modified xsi:type="dcterms:W3CDTF">2022-08-02T14:50:00Z</dcterms:modified>
</cp:coreProperties>
</file>