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AF5125" w14:textId="77777777" w:rsidR="001A61D0" w:rsidRDefault="001A61D0"/>
    <w:p w14:paraId="76C8A9AB" w14:textId="77777777" w:rsidR="001A61D0" w:rsidRDefault="00E23128">
      <w:r>
        <w:rPr>
          <w:lang w:val="fr"/>
        </w:rPr>
        <w:t>Novembre 2024</w:t>
      </w:r>
    </w:p>
    <w:p w14:paraId="0B21EBED" w14:textId="77777777" w:rsidR="001A61D0" w:rsidRDefault="001A61D0"/>
    <w:p w14:paraId="2F649EAB" w14:textId="77777777" w:rsidR="001A61D0" w:rsidRDefault="00E23128">
      <w:r>
        <w:rPr>
          <w:lang w:val="fr"/>
        </w:rPr>
        <w:t>Chères familles du lycée CPS,</w:t>
      </w:r>
    </w:p>
    <w:p w14:paraId="4227C91B" w14:textId="77777777" w:rsidR="001A61D0" w:rsidRDefault="001A61D0"/>
    <w:p w14:paraId="0B5AF97D" w14:textId="636336EF" w:rsidR="001A61D0" w:rsidRPr="00803FD9" w:rsidRDefault="00E23128">
      <w:pPr>
        <w:spacing w:line="240" w:lineRule="auto"/>
        <w:rPr>
          <w:lang w:val="es-AR"/>
        </w:rPr>
      </w:pPr>
      <w:r>
        <w:rPr>
          <w:lang w:val="fr"/>
        </w:rPr>
        <w:t xml:space="preserve">Les élèves des promotions de 2023 et au-delà (ceux qui sont entrés en 9e année le 1er juillet 2019 ou après) doivent satisfaire à l'ensemble des </w:t>
      </w:r>
      <w:hyperlink r:id="rId6">
        <w:r>
          <w:rPr>
            <w:color w:val="1155CC"/>
            <w:u w:val="single"/>
            <w:lang w:val="fr"/>
          </w:rPr>
          <w:t>exigences de diplôme</w:t>
        </w:r>
      </w:hyperlink>
      <w:r>
        <w:rPr>
          <w:lang w:val="fr"/>
        </w:rPr>
        <w:t xml:space="preserve"> suivantes.</w:t>
      </w:r>
      <w:r w:rsidR="00803FD9">
        <w:rPr>
          <w:lang w:val="fr"/>
        </w:rPr>
        <w:t xml:space="preserve"> </w:t>
      </w:r>
      <w:r>
        <w:rPr>
          <w:lang w:val="fr"/>
        </w:rPr>
        <w:t xml:space="preserve">Ces exigences de diplôme se composent de trois éléments clés :    </w:t>
      </w:r>
    </w:p>
    <w:p w14:paraId="3C21DA5F" w14:textId="77777777" w:rsidR="001A61D0" w:rsidRPr="00803FD9" w:rsidRDefault="001A61D0">
      <w:pPr>
        <w:spacing w:line="240" w:lineRule="auto"/>
        <w:rPr>
          <w:lang w:val="es-AR"/>
        </w:rPr>
      </w:pPr>
    </w:p>
    <w:p w14:paraId="79C33D8F" w14:textId="77777777" w:rsidR="001A61D0" w:rsidRDefault="00E23128">
      <w:pPr>
        <w:spacing w:line="240" w:lineRule="auto"/>
      </w:pPr>
      <w:r>
        <w:rPr>
          <w:lang w:val="fr"/>
        </w:rPr>
        <w:t>1. Achèvement du cours</w:t>
      </w:r>
    </w:p>
    <w:p w14:paraId="521D88FD" w14:textId="77777777" w:rsidR="001A61D0" w:rsidRDefault="00E23128">
      <w:pPr>
        <w:spacing w:line="240" w:lineRule="auto"/>
      </w:pPr>
      <w:r>
        <w:rPr>
          <w:lang w:val="fr"/>
        </w:rPr>
        <w:t>Les élèves devront satisfaire aux exigences du programme de l'Ohio ainsi qu'à toute exigence locale supplémentaire. Les élèves devront compléter un minimum de 20 unités d'enseignement de l'État, avec des unités spécifiques requises dans chaque domaine de contenu.</w:t>
      </w:r>
    </w:p>
    <w:p w14:paraId="521D3D6E" w14:textId="77777777" w:rsidR="001A61D0" w:rsidRDefault="001A61D0">
      <w:pPr>
        <w:spacing w:line="240" w:lineRule="auto"/>
      </w:pPr>
    </w:p>
    <w:p w14:paraId="46CA97E7" w14:textId="77777777" w:rsidR="001A61D0" w:rsidRDefault="00E23128">
      <w:pPr>
        <w:spacing w:line="240" w:lineRule="auto"/>
      </w:pPr>
      <w:r>
        <w:rPr>
          <w:lang w:val="fr"/>
        </w:rPr>
        <w:t>2. Démontrer ses compétences</w:t>
      </w:r>
    </w:p>
    <w:p w14:paraId="653244D2" w14:textId="77777777" w:rsidR="001A61D0" w:rsidRDefault="00E23128">
      <w:pPr>
        <w:spacing w:line="240" w:lineRule="auto"/>
      </w:pPr>
      <w:r>
        <w:rPr>
          <w:lang w:val="fr"/>
        </w:rPr>
        <w:t>Les élèves devront démontrer leur compétence dans les domaines fondamentaux des arts du langage en anglais et des mathématiques, ou par le biais de démonstrations alternatives, qui incluent College Credit Plus, des activités axées sur la carrière, leurs scores ACT ou SAT, ou l'enrôlement militaire.</w:t>
      </w:r>
    </w:p>
    <w:p w14:paraId="54870634" w14:textId="77777777" w:rsidR="001A61D0" w:rsidRDefault="001A61D0">
      <w:pPr>
        <w:spacing w:line="240" w:lineRule="auto"/>
      </w:pPr>
    </w:p>
    <w:p w14:paraId="5B05D188" w14:textId="77777777" w:rsidR="001A61D0" w:rsidRDefault="00E23128">
      <w:pPr>
        <w:spacing w:line="240" w:lineRule="auto"/>
      </w:pPr>
      <w:r>
        <w:rPr>
          <w:lang w:val="fr"/>
        </w:rPr>
        <w:t>3. Démonstration de préparation (sceaux)</w:t>
      </w:r>
    </w:p>
    <w:p w14:paraId="094423AE" w14:textId="77777777" w:rsidR="001A61D0" w:rsidRDefault="00E23128">
      <w:pPr>
        <w:spacing w:line="240" w:lineRule="auto"/>
      </w:pPr>
      <w:r>
        <w:rPr>
          <w:lang w:val="fr"/>
        </w:rPr>
        <w:t>Les élèves devront démontrer leur préparation pour leurs parcours postsecondaires en obtenant deux sceaux de diplôme, leur permettant de prouver leurs connaissances académiques et techniques fondamentales et complètes, ainsi que leurs compétences professionnelles, en leadership et en raisonnement.</w:t>
      </w:r>
    </w:p>
    <w:p w14:paraId="16197273" w14:textId="77777777" w:rsidR="001A61D0" w:rsidRDefault="001A61D0">
      <w:pPr>
        <w:spacing w:line="240" w:lineRule="auto"/>
      </w:pPr>
    </w:p>
    <w:p w14:paraId="69486E02" w14:textId="77777777" w:rsidR="001A61D0" w:rsidRPr="00803FD9" w:rsidRDefault="00E23128">
      <w:pPr>
        <w:spacing w:line="240" w:lineRule="auto"/>
        <w:rPr>
          <w:lang w:val="es-AR"/>
        </w:rPr>
      </w:pPr>
      <w:r>
        <w:rPr>
          <w:lang w:val="fr"/>
        </w:rPr>
        <w:t xml:space="preserve">Afin de satisfaire aux composants 2 et 3, les élèves du secondaire auront l'opportunité de repasser les examens d'État de fin de cours (EOC) entre le 2 décembre 2024 et le 20 décembre 2024. Les élèves peuvent repasser les examens pour obtenir un score de compétence en Arts du langage en anglais 2 et en Algèbre 1. Ils peuvent repasser les examens de biologie, de gouvernement américain et d'histoire américaine dans le but d'obtenir le sceau de sciences et/ou le sceau de citoyenneté. Les besoins de reprise d'examens varieront pour chaque élève en fonction de leur plan de diplôme et de leurs résultats aux tests précédents. </w:t>
      </w:r>
    </w:p>
    <w:p w14:paraId="1AB12077" w14:textId="77777777" w:rsidR="001A61D0" w:rsidRPr="00803FD9" w:rsidRDefault="001A61D0">
      <w:pPr>
        <w:spacing w:line="240" w:lineRule="auto"/>
        <w:rPr>
          <w:lang w:val="es-AR"/>
        </w:rPr>
      </w:pPr>
    </w:p>
    <w:p w14:paraId="183731A0" w14:textId="77777777" w:rsidR="001A61D0" w:rsidRPr="00803FD9" w:rsidRDefault="001A61D0">
      <w:pPr>
        <w:spacing w:line="240" w:lineRule="auto"/>
        <w:rPr>
          <w:lang w:val="es-AR"/>
        </w:rPr>
      </w:pPr>
    </w:p>
    <w:p w14:paraId="18778A0A" w14:textId="77777777" w:rsidR="001A61D0" w:rsidRPr="00803FD9" w:rsidRDefault="00E23128">
      <w:pPr>
        <w:spacing w:line="240" w:lineRule="auto"/>
        <w:rPr>
          <w:color w:val="212121"/>
          <w:highlight w:val="white"/>
          <w:lang w:val="es-AR"/>
        </w:rPr>
      </w:pPr>
      <w:r>
        <w:rPr>
          <w:color w:val="212121"/>
          <w:highlight w:val="white"/>
          <w:lang w:val="fr"/>
        </w:rPr>
        <w:t xml:space="preserve"> Si vous avez des questions concernant les exigences de diplôme, veuillez contacter le conseiller de votre élève.</w:t>
      </w:r>
    </w:p>
    <w:p w14:paraId="3CF75CFA" w14:textId="77777777" w:rsidR="001A61D0" w:rsidRPr="00803FD9" w:rsidRDefault="001A61D0">
      <w:pPr>
        <w:spacing w:line="240" w:lineRule="auto"/>
        <w:rPr>
          <w:color w:val="212121"/>
          <w:highlight w:val="white"/>
          <w:lang w:val="es-AR"/>
        </w:rPr>
      </w:pPr>
    </w:p>
    <w:p w14:paraId="78B6B743" w14:textId="77777777" w:rsidR="001A61D0" w:rsidRPr="00803FD9" w:rsidRDefault="001A61D0">
      <w:pPr>
        <w:spacing w:line="240" w:lineRule="auto"/>
        <w:rPr>
          <w:color w:val="222222"/>
          <w:highlight w:val="white"/>
          <w:lang w:val="es-AR"/>
        </w:rPr>
      </w:pPr>
    </w:p>
    <w:p w14:paraId="14A17A61" w14:textId="77777777" w:rsidR="001A61D0" w:rsidRDefault="00E23128">
      <w:pPr>
        <w:rPr>
          <w:color w:val="222222"/>
          <w:highlight w:val="white"/>
        </w:rPr>
      </w:pPr>
      <w:r>
        <w:rPr>
          <w:color w:val="222222"/>
          <w:highlight w:val="white"/>
          <w:lang w:val="fr"/>
        </w:rPr>
        <w:t>Cordialement,</w:t>
      </w:r>
    </w:p>
    <w:p w14:paraId="11E0AA97" w14:textId="77777777" w:rsidR="001A61D0" w:rsidRDefault="001A61D0">
      <w:pPr>
        <w:rPr>
          <w:color w:val="222222"/>
          <w:highlight w:val="white"/>
        </w:rPr>
      </w:pPr>
    </w:p>
    <w:p w14:paraId="72FD240A" w14:textId="77777777" w:rsidR="001A61D0" w:rsidRDefault="00E23128">
      <w:pPr>
        <w:rPr>
          <w:b/>
          <w:color w:val="222222"/>
          <w:highlight w:val="white"/>
        </w:rPr>
      </w:pPr>
      <w:r>
        <w:rPr>
          <w:color w:val="222222"/>
          <w:lang w:val="fr"/>
        </w:rPr>
        <w:t>Écoles publiques de Cincinnati</w:t>
      </w:r>
    </w:p>
    <w:sectPr w:rsidR="001A61D0">
      <w:headerReference w:type="default" r:id="rId7"/>
      <w:pgSz w:w="12240" w:h="15840"/>
      <w:pgMar w:top="1440" w:right="1440" w:bottom="1440" w:left="1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ACA75" w14:textId="77777777" w:rsidR="00B72B52" w:rsidRDefault="00E23128">
      <w:pPr>
        <w:spacing w:line="240" w:lineRule="auto"/>
      </w:pPr>
      <w:r>
        <w:separator/>
      </w:r>
    </w:p>
  </w:endnote>
  <w:endnote w:type="continuationSeparator" w:id="0">
    <w:p w14:paraId="74C439D5" w14:textId="77777777" w:rsidR="00B72B52" w:rsidRDefault="00E23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C888AE" w14:textId="77777777" w:rsidR="00B72B52" w:rsidRDefault="00E23128">
      <w:pPr>
        <w:spacing w:line="240" w:lineRule="auto"/>
      </w:pPr>
      <w:r>
        <w:separator/>
      </w:r>
    </w:p>
  </w:footnote>
  <w:footnote w:type="continuationSeparator" w:id="0">
    <w:p w14:paraId="6D52FB61" w14:textId="77777777" w:rsidR="00B72B52" w:rsidRDefault="00E231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E2CEA" w14:textId="77777777" w:rsidR="001A61D0" w:rsidRDefault="00E23128">
    <w:pPr>
      <w:spacing w:line="240" w:lineRule="auto"/>
      <w:ind w:left="-450" w:right="-324"/>
      <w:rPr>
        <w:rFonts w:ascii="Times New Roman" w:eastAsia="Times New Roman" w:hAnsi="Times New Roman" w:cs="Times New Roman"/>
        <w:sz w:val="12"/>
        <w:szCs w:val="12"/>
      </w:rPr>
    </w:pPr>
    <w:r>
      <w:rPr>
        <w:rFonts w:ascii="Times New Roman" w:eastAsia="Times New Roman" w:hAnsi="Times New Roman" w:cs="Times New Roman"/>
        <w:noProof/>
        <w:sz w:val="24"/>
        <w:szCs w:val="24"/>
        <w:lang w:val="fr"/>
      </w:rPr>
      <w:drawing>
        <wp:inline distT="0" distB="0" distL="114300" distR="114300" wp14:anchorId="23427E4E" wp14:editId="48F42DDC">
          <wp:extent cx="1081088" cy="94803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81088" cy="948031"/>
                  </a:xfrm>
                  <a:prstGeom prst="rect">
                    <a:avLst/>
                  </a:prstGeom>
                  <a:ln/>
                </pic:spPr>
              </pic:pic>
            </a:graphicData>
          </a:graphic>
        </wp:inline>
      </w:drawing>
    </w:r>
  </w:p>
  <w:p w14:paraId="616DE2E0" w14:textId="77777777" w:rsidR="001A61D0" w:rsidRDefault="00E23128">
    <w:pPr>
      <w:spacing w:line="240" w:lineRule="auto"/>
      <w:ind w:left="-720" w:right="-504"/>
      <w:rPr>
        <w:rFonts w:ascii="Open Sans" w:eastAsia="Open Sans" w:hAnsi="Open Sans" w:cs="Open Sans"/>
        <w:sz w:val="18"/>
        <w:szCs w:val="18"/>
      </w:rPr>
    </w:pPr>
    <w:r>
      <w:rPr>
        <w:rFonts w:ascii="Open Sans" w:hAnsi="Open Sans"/>
        <w:sz w:val="18"/>
        <w:szCs w:val="18"/>
        <w:lang w:val="fr"/>
      </w:rPr>
      <w:tab/>
      <w:t xml:space="preserve">Centre d’éducation </w:t>
    </w:r>
    <w:r>
      <w:rPr>
        <w:rFonts w:ascii="Wingdings" w:hAnsi="Wingdings"/>
        <w:sz w:val="12"/>
        <w:szCs w:val="12"/>
        <w:lang w:val="fr"/>
      </w:rPr>
      <w:t>★</w:t>
    </w:r>
    <w:r>
      <w:rPr>
        <w:rFonts w:ascii="Open Sans" w:hAnsi="Open Sans"/>
        <w:sz w:val="18"/>
        <w:szCs w:val="18"/>
        <w:lang w:val="fr"/>
      </w:rPr>
      <w:t xml:space="preserve"> B.P. : 5381 </w:t>
    </w:r>
    <w:r>
      <w:rPr>
        <w:rFonts w:ascii="Wingdings" w:hAnsi="Wingdings"/>
        <w:sz w:val="12"/>
        <w:szCs w:val="12"/>
        <w:lang w:val="fr"/>
      </w:rPr>
      <w:t>★</w:t>
    </w:r>
    <w:r>
      <w:rPr>
        <w:rFonts w:ascii="Open Sans" w:hAnsi="Open Sans"/>
        <w:sz w:val="18"/>
        <w:szCs w:val="18"/>
        <w:lang w:val="fr"/>
      </w:rPr>
      <w:t xml:space="preserve"> Cincinnati, OH 45201-5381 </w:t>
    </w:r>
    <w:r>
      <w:rPr>
        <w:rFonts w:ascii="Wingdings" w:hAnsi="Wingdings"/>
        <w:sz w:val="12"/>
        <w:szCs w:val="12"/>
        <w:lang w:val="fr"/>
      </w:rPr>
      <w:t>★</w:t>
    </w:r>
    <w:r>
      <w:rPr>
        <w:rFonts w:ascii="Open Sans" w:hAnsi="Open Sans"/>
        <w:sz w:val="18"/>
        <w:szCs w:val="18"/>
        <w:lang w:val="fr"/>
      </w:rPr>
      <w:t xml:space="preserve"> Téléphone : 513-363-0000 </w:t>
    </w:r>
  </w:p>
  <w:p w14:paraId="4FA58B5C" w14:textId="77777777" w:rsidR="001A61D0" w:rsidRDefault="00803FD9">
    <w:pPr>
      <w:spacing w:line="240" w:lineRule="auto"/>
      <w:ind w:left="-720" w:right="-504"/>
      <w:rPr>
        <w:rFonts w:ascii="Open Sans" w:eastAsia="Open Sans" w:hAnsi="Open Sans" w:cs="Open Sans"/>
        <w:sz w:val="18"/>
        <w:szCs w:val="18"/>
      </w:rPr>
    </w:pPr>
    <w:r>
      <w:rPr>
        <w:lang w:val="fr"/>
      </w:rPr>
      <w:pict w14:anchorId="5A901B40">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D0"/>
    <w:rsid w:val="001A61D0"/>
    <w:rsid w:val="00415A79"/>
    <w:rsid w:val="00803FD9"/>
    <w:rsid w:val="00B72B52"/>
    <w:rsid w:val="00E23128"/>
  </w:rsids>
  <m:mathPr>
    <m:mathFont m:val="Cambria Math"/>
    <m:brkBin m:val="before"/>
    <m:brkBinSub m:val="--"/>
    <m:smallFrac m:val="0"/>
    <m:dispDef/>
    <m:lMargin m:val="0"/>
    <m:rMargin m:val="0"/>
    <m:defJc m:val="centerGroup"/>
    <m:wrapIndent m:val="1440"/>
    <m:intLim m:val="subSup"/>
    <m:naryLim m:val="undOvr"/>
  </m:mathPr>
  <w:themeFontLang w:val="es-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5779C"/>
  <w15:docId w15:val="{EAF70355-0006-4BB9-A961-4247DF91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s-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ucation.ohio.gov/Topics/Ohio-s-Graduation-Requirements/Ohio%E2%80%99s-Graduation-Requiremen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Cincinnati Public Schools</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Pena</dc:creator>
  <cp:lastModifiedBy>Silvia Gomez</cp:lastModifiedBy>
  <cp:revision>3</cp:revision>
  <dcterms:created xsi:type="dcterms:W3CDTF">2024-10-23T17:57:00Z</dcterms:created>
  <dcterms:modified xsi:type="dcterms:W3CDTF">2024-10-25T16:19:00Z</dcterms:modified>
</cp:coreProperties>
</file>