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002A9" w:rsidRDefault="004002A9">
      <w:pPr>
        <w:rPr>
          <w:rFonts w:ascii="Helvetica" w:hAnsi="Helvetica"/>
          <w:color w:val="000000"/>
          <w:sz w:val="20"/>
          <w:szCs w:val="20"/>
        </w:rPr>
      </w:pPr>
    </w:p>
    <w:p w:rsidR="004002A9" w:rsidRPr="00752455" w:rsidRDefault="004002A9">
      <w:pPr>
        <w:rPr>
          <w:rFonts w:cstheme="minorHAnsi"/>
          <w:b/>
          <w:color w:val="000000"/>
          <w:sz w:val="32"/>
          <w:szCs w:val="32"/>
          <w:shd w:val="clear" w:color="auto" w:fill="FFFFFF"/>
        </w:rPr>
      </w:pPr>
      <w:r w:rsidRPr="00752455">
        <w:rPr>
          <w:rFonts w:cstheme="minorHAnsi"/>
          <w:b/>
          <w:color w:val="000000"/>
          <w:sz w:val="32"/>
          <w:szCs w:val="32"/>
          <w:shd w:val="clear" w:color="auto" w:fill="FFFFFF"/>
        </w:rPr>
        <w:t>Examples of Programs for Students with Intellectual Disabilities</w:t>
      </w:r>
    </w:p>
    <w:p w:rsidR="008A23E6" w:rsidRPr="00752455" w:rsidRDefault="004002A9" w:rsidP="004002A9">
      <w:pPr>
        <w:pStyle w:val="ListParagraph"/>
        <w:numPr>
          <w:ilvl w:val="0"/>
          <w:numId w:val="1"/>
        </w:numPr>
        <w:rPr>
          <w:rFonts w:cstheme="minorHAnsi"/>
          <w:sz w:val="24"/>
          <w:szCs w:val="24"/>
        </w:rPr>
      </w:pPr>
      <w:r w:rsidRPr="00752455">
        <w:rPr>
          <w:rFonts w:cstheme="minorHAnsi"/>
          <w:color w:val="000000"/>
          <w:sz w:val="24"/>
          <w:szCs w:val="24"/>
        </w:rPr>
        <w:t xml:space="preserve">Search for more programs for students with intellectual disabilities: </w:t>
      </w:r>
      <w:hyperlink r:id="rId5" w:history="1">
        <w:r w:rsidRPr="00752455">
          <w:rPr>
            <w:rStyle w:val="Hyperlink"/>
            <w:rFonts w:cstheme="minorHAnsi"/>
            <w:sz w:val="24"/>
            <w:szCs w:val="24"/>
          </w:rPr>
          <w:t>https://thinkcollege.net/college-search</w:t>
        </w:r>
      </w:hyperlink>
    </w:p>
    <w:tbl>
      <w:tblPr>
        <w:tblW w:w="0" w:type="dxa"/>
        <w:tblCellMar>
          <w:left w:w="0" w:type="dxa"/>
          <w:right w:w="0" w:type="dxa"/>
        </w:tblCellMar>
        <w:tblLook w:val="04A0" w:firstRow="1" w:lastRow="0" w:firstColumn="1" w:lastColumn="0" w:noHBand="0" w:noVBand="1"/>
      </w:tblPr>
      <w:tblGrid>
        <w:gridCol w:w="1721"/>
        <w:gridCol w:w="1749"/>
        <w:gridCol w:w="1156"/>
        <w:gridCol w:w="696"/>
        <w:gridCol w:w="6326"/>
      </w:tblGrid>
      <w:tr w:rsidR="001729A9" w:rsidTr="001729A9">
        <w:trPr>
          <w:trHeight w:val="315"/>
        </w:trPr>
        <w:tc>
          <w:tcPr>
            <w:tcW w:w="0" w:type="auto"/>
            <w:tcBorders>
              <w:top w:val="single" w:sz="6" w:space="0" w:color="000000"/>
              <w:left w:val="single" w:sz="6" w:space="0" w:color="000000"/>
              <w:bottom w:val="single" w:sz="6" w:space="0" w:color="000000"/>
              <w:right w:val="single" w:sz="6" w:space="0" w:color="000000"/>
            </w:tcBorders>
            <w:shd w:val="clear" w:color="auto" w:fill="6AA84F"/>
            <w:tcMar>
              <w:top w:w="30" w:type="dxa"/>
              <w:left w:w="45" w:type="dxa"/>
              <w:bottom w:w="30" w:type="dxa"/>
              <w:right w:w="45" w:type="dxa"/>
            </w:tcMar>
            <w:vAlign w:val="bottom"/>
            <w:hideMark/>
          </w:tcPr>
          <w:p w:rsidR="001729A9" w:rsidRDefault="001729A9">
            <w:pPr>
              <w:rPr>
                <w:rFonts w:ascii="Calibri" w:hAnsi="Calibri" w:cs="Calibri"/>
                <w:b/>
                <w:bCs/>
                <w:color w:val="FFFFFF"/>
                <w:sz w:val="28"/>
                <w:szCs w:val="28"/>
              </w:rPr>
            </w:pPr>
            <w:r>
              <w:rPr>
                <w:rFonts w:ascii="Calibri" w:hAnsi="Calibri" w:cs="Calibri"/>
                <w:b/>
                <w:bCs/>
                <w:color w:val="FFFFFF"/>
                <w:sz w:val="28"/>
                <w:szCs w:val="28"/>
              </w:rPr>
              <w:t>Name</w:t>
            </w:r>
          </w:p>
        </w:tc>
        <w:tc>
          <w:tcPr>
            <w:tcW w:w="0" w:type="auto"/>
            <w:tcBorders>
              <w:top w:val="single" w:sz="6" w:space="0" w:color="000000"/>
              <w:left w:val="single" w:sz="6" w:space="0" w:color="CCCCCC"/>
              <w:bottom w:val="single" w:sz="6" w:space="0" w:color="000000"/>
              <w:right w:val="single" w:sz="6" w:space="0" w:color="000000"/>
            </w:tcBorders>
            <w:shd w:val="clear" w:color="auto" w:fill="6AA84F"/>
            <w:tcMar>
              <w:top w:w="30" w:type="dxa"/>
              <w:left w:w="45" w:type="dxa"/>
              <w:bottom w:w="30" w:type="dxa"/>
              <w:right w:w="45" w:type="dxa"/>
            </w:tcMar>
            <w:vAlign w:val="bottom"/>
            <w:hideMark/>
          </w:tcPr>
          <w:p w:rsidR="001729A9" w:rsidRDefault="001729A9">
            <w:pPr>
              <w:rPr>
                <w:rFonts w:ascii="Calibri" w:hAnsi="Calibri" w:cs="Calibri"/>
                <w:b/>
                <w:bCs/>
                <w:color w:val="FFFFFF"/>
                <w:sz w:val="28"/>
                <w:szCs w:val="28"/>
              </w:rPr>
            </w:pPr>
            <w:r>
              <w:rPr>
                <w:rFonts w:ascii="Calibri" w:hAnsi="Calibri" w:cs="Calibri"/>
                <w:b/>
                <w:bCs/>
                <w:color w:val="FFFFFF"/>
                <w:sz w:val="28"/>
                <w:szCs w:val="28"/>
              </w:rPr>
              <w:t>Program Type</w:t>
            </w:r>
          </w:p>
        </w:tc>
        <w:tc>
          <w:tcPr>
            <w:tcW w:w="0" w:type="auto"/>
            <w:tcBorders>
              <w:top w:val="single" w:sz="6" w:space="0" w:color="000000"/>
              <w:left w:val="single" w:sz="6" w:space="0" w:color="CCCCCC"/>
              <w:bottom w:val="single" w:sz="6" w:space="0" w:color="000000"/>
              <w:right w:val="single" w:sz="6" w:space="0" w:color="000000"/>
            </w:tcBorders>
            <w:shd w:val="clear" w:color="auto" w:fill="6AA84F"/>
            <w:tcMar>
              <w:top w:w="30" w:type="dxa"/>
              <w:left w:w="45" w:type="dxa"/>
              <w:bottom w:w="30" w:type="dxa"/>
              <w:right w:w="45" w:type="dxa"/>
            </w:tcMar>
            <w:vAlign w:val="bottom"/>
            <w:hideMark/>
          </w:tcPr>
          <w:p w:rsidR="001729A9" w:rsidRDefault="001729A9">
            <w:pPr>
              <w:rPr>
                <w:rFonts w:ascii="Calibri" w:hAnsi="Calibri" w:cs="Calibri"/>
                <w:b/>
                <w:bCs/>
                <w:color w:val="FFFFFF"/>
                <w:sz w:val="28"/>
                <w:szCs w:val="28"/>
              </w:rPr>
            </w:pPr>
            <w:r>
              <w:rPr>
                <w:rFonts w:ascii="Calibri" w:hAnsi="Calibri" w:cs="Calibri"/>
                <w:b/>
                <w:bCs/>
                <w:color w:val="FFFFFF"/>
                <w:sz w:val="28"/>
                <w:szCs w:val="28"/>
              </w:rPr>
              <w:t>City</w:t>
            </w:r>
          </w:p>
        </w:tc>
        <w:tc>
          <w:tcPr>
            <w:tcW w:w="0" w:type="auto"/>
            <w:tcBorders>
              <w:top w:val="single" w:sz="6" w:space="0" w:color="000000"/>
              <w:left w:val="single" w:sz="6" w:space="0" w:color="CCCCCC"/>
              <w:bottom w:val="single" w:sz="6" w:space="0" w:color="000000"/>
              <w:right w:val="single" w:sz="6" w:space="0" w:color="000000"/>
            </w:tcBorders>
            <w:shd w:val="clear" w:color="auto" w:fill="6AA84F"/>
            <w:tcMar>
              <w:top w:w="30" w:type="dxa"/>
              <w:left w:w="45" w:type="dxa"/>
              <w:bottom w:w="30" w:type="dxa"/>
              <w:right w:w="45" w:type="dxa"/>
            </w:tcMar>
            <w:vAlign w:val="bottom"/>
            <w:hideMark/>
          </w:tcPr>
          <w:p w:rsidR="001729A9" w:rsidRDefault="001729A9">
            <w:pPr>
              <w:rPr>
                <w:rFonts w:ascii="Calibri" w:hAnsi="Calibri" w:cs="Calibri"/>
                <w:b/>
                <w:bCs/>
                <w:color w:val="FFFFFF"/>
                <w:sz w:val="28"/>
                <w:szCs w:val="28"/>
              </w:rPr>
            </w:pPr>
            <w:r>
              <w:rPr>
                <w:rFonts w:ascii="Calibri" w:hAnsi="Calibri" w:cs="Calibri"/>
                <w:b/>
                <w:bCs/>
                <w:color w:val="FFFFFF"/>
                <w:sz w:val="28"/>
                <w:szCs w:val="28"/>
              </w:rPr>
              <w:t>State</w:t>
            </w:r>
          </w:p>
        </w:tc>
        <w:tc>
          <w:tcPr>
            <w:tcW w:w="0" w:type="auto"/>
            <w:tcBorders>
              <w:top w:val="single" w:sz="6" w:space="0" w:color="000000"/>
              <w:left w:val="single" w:sz="6" w:space="0" w:color="CCCCCC"/>
              <w:bottom w:val="single" w:sz="6" w:space="0" w:color="000000"/>
              <w:right w:val="single" w:sz="6" w:space="0" w:color="000000"/>
            </w:tcBorders>
            <w:shd w:val="clear" w:color="auto" w:fill="6AA84F"/>
            <w:tcMar>
              <w:top w:w="30" w:type="dxa"/>
              <w:left w:w="45" w:type="dxa"/>
              <w:bottom w:w="30" w:type="dxa"/>
              <w:right w:w="45" w:type="dxa"/>
            </w:tcMar>
            <w:vAlign w:val="bottom"/>
            <w:hideMark/>
          </w:tcPr>
          <w:p w:rsidR="001729A9" w:rsidRDefault="001729A9">
            <w:pPr>
              <w:rPr>
                <w:rFonts w:ascii="Calibri" w:hAnsi="Calibri" w:cs="Calibri"/>
                <w:b/>
                <w:bCs/>
                <w:color w:val="FFFFFF"/>
                <w:sz w:val="28"/>
                <w:szCs w:val="28"/>
              </w:rPr>
            </w:pPr>
            <w:r>
              <w:rPr>
                <w:rFonts w:ascii="Calibri" w:hAnsi="Calibri" w:cs="Calibri"/>
                <w:b/>
                <w:bCs/>
                <w:color w:val="FFFFFF"/>
                <w:sz w:val="28"/>
                <w:szCs w:val="28"/>
              </w:rPr>
              <w:t>Information</w:t>
            </w:r>
          </w:p>
        </w:tc>
        <w:bookmarkStart w:id="0" w:name="_GoBack"/>
        <w:bookmarkEnd w:id="0"/>
      </w:tr>
      <w:tr w:rsidR="001729A9" w:rsidTr="001729A9">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1729A9" w:rsidRDefault="001729A9">
            <w:pPr>
              <w:rPr>
                <w:rFonts w:ascii="Calibri" w:hAnsi="Calibri" w:cs="Calibri"/>
                <w:color w:val="0000EE"/>
                <w:sz w:val="28"/>
                <w:szCs w:val="28"/>
                <w:u w:val="single"/>
              </w:rPr>
            </w:pPr>
            <w:hyperlink r:id="rId6" w:tgtFrame="_blank" w:history="1">
              <w:r>
                <w:rPr>
                  <w:rStyle w:val="Hyperlink"/>
                  <w:rFonts w:ascii="Calibri" w:hAnsi="Calibri" w:cs="Calibri"/>
                  <w:sz w:val="28"/>
                  <w:szCs w:val="28"/>
                </w:rPr>
                <w:t>College of Alameda: College to Career</w:t>
              </w:r>
            </w:hyperlink>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1729A9" w:rsidRDefault="001729A9">
            <w:pPr>
              <w:rPr>
                <w:rFonts w:ascii="Calibri" w:hAnsi="Calibri" w:cs="Calibri"/>
                <w:color w:val="0000EE"/>
                <w:sz w:val="28"/>
                <w:szCs w:val="28"/>
                <w:u w:val="single"/>
              </w:rPr>
            </w:pP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1729A9" w:rsidRDefault="001729A9">
            <w:pPr>
              <w:rPr>
                <w:rFonts w:ascii="Calibri" w:hAnsi="Calibri" w:cs="Calibri"/>
                <w:color w:val="262627"/>
                <w:sz w:val="28"/>
                <w:szCs w:val="28"/>
              </w:rPr>
            </w:pPr>
            <w:r>
              <w:rPr>
                <w:rFonts w:ascii="Calibri" w:hAnsi="Calibri" w:cs="Calibri"/>
                <w:color w:val="262627"/>
                <w:sz w:val="28"/>
                <w:szCs w:val="28"/>
              </w:rPr>
              <w:t>Alameda</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1729A9" w:rsidRDefault="001729A9">
            <w:pPr>
              <w:rPr>
                <w:rFonts w:ascii="Calibri" w:hAnsi="Calibri" w:cs="Calibri"/>
                <w:color w:val="262627"/>
                <w:sz w:val="28"/>
                <w:szCs w:val="28"/>
              </w:rPr>
            </w:pPr>
            <w:r>
              <w:rPr>
                <w:rFonts w:ascii="Calibri" w:hAnsi="Calibri" w:cs="Calibri"/>
                <w:color w:val="262627"/>
                <w:sz w:val="28"/>
                <w:szCs w:val="28"/>
              </w:rPr>
              <w:t>CA</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1729A9" w:rsidRDefault="001729A9">
            <w:pPr>
              <w:rPr>
                <w:rFonts w:ascii="Calibri" w:hAnsi="Calibri" w:cs="Calibri"/>
                <w:color w:val="262627"/>
                <w:sz w:val="28"/>
                <w:szCs w:val="28"/>
              </w:rPr>
            </w:pPr>
            <w:r>
              <w:rPr>
                <w:rFonts w:ascii="Calibri" w:hAnsi="Calibri" w:cs="Calibri"/>
                <w:color w:val="262627"/>
                <w:sz w:val="28"/>
                <w:szCs w:val="28"/>
              </w:rPr>
              <w:t>The C2C program includes on-campus instruction, off-campus internships related to students’ employment goals, and placement with follow-up as needed. Students also participate in campus activities to improve social and communication skills needed for success in getting and retaining a job. C2C admits 20 students per year.</w:t>
            </w:r>
          </w:p>
        </w:tc>
      </w:tr>
      <w:tr w:rsidR="001729A9" w:rsidTr="001729A9">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1729A9" w:rsidRDefault="001729A9">
            <w:pPr>
              <w:rPr>
                <w:rFonts w:ascii="Calibri" w:hAnsi="Calibri" w:cs="Calibri"/>
                <w:color w:val="0000EE"/>
                <w:sz w:val="28"/>
                <w:szCs w:val="28"/>
                <w:u w:val="single"/>
              </w:rPr>
            </w:pPr>
            <w:hyperlink r:id="rId7" w:tgtFrame="_blank" w:history="1">
              <w:proofErr w:type="spellStart"/>
              <w:r>
                <w:rPr>
                  <w:rStyle w:val="Hyperlink"/>
                  <w:rFonts w:ascii="Calibri" w:hAnsi="Calibri" w:cs="Calibri"/>
                  <w:sz w:val="28"/>
                  <w:szCs w:val="28"/>
                </w:rPr>
                <w:t>Wayfinders</w:t>
              </w:r>
              <w:proofErr w:type="spellEnd"/>
              <w:r>
                <w:rPr>
                  <w:rStyle w:val="Hyperlink"/>
                  <w:rFonts w:ascii="Calibri" w:hAnsi="Calibri" w:cs="Calibri"/>
                  <w:sz w:val="28"/>
                  <w:szCs w:val="28"/>
                </w:rPr>
                <w:t xml:space="preserve"> at Fresno State</w:t>
              </w:r>
            </w:hyperlink>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1729A9" w:rsidRDefault="001729A9">
            <w:pPr>
              <w:rPr>
                <w:rFonts w:ascii="Calibri" w:hAnsi="Calibri" w:cs="Calibri"/>
                <w:color w:val="262627"/>
                <w:sz w:val="28"/>
                <w:szCs w:val="28"/>
              </w:rPr>
            </w:pPr>
            <w:r>
              <w:rPr>
                <w:rFonts w:ascii="Calibri" w:hAnsi="Calibri" w:cs="Calibri"/>
                <w:color w:val="262627"/>
                <w:sz w:val="28"/>
                <w:szCs w:val="28"/>
              </w:rPr>
              <w:t>Independent Living Program</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1729A9" w:rsidRDefault="001729A9">
            <w:pPr>
              <w:rPr>
                <w:rFonts w:ascii="Calibri" w:hAnsi="Calibri" w:cs="Calibri"/>
                <w:color w:val="262627"/>
                <w:sz w:val="28"/>
                <w:szCs w:val="28"/>
              </w:rPr>
            </w:pPr>
            <w:r>
              <w:rPr>
                <w:rFonts w:ascii="Calibri" w:hAnsi="Calibri" w:cs="Calibri"/>
                <w:color w:val="262627"/>
                <w:sz w:val="28"/>
                <w:szCs w:val="28"/>
              </w:rPr>
              <w:t>Fresno</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1729A9" w:rsidRDefault="001729A9">
            <w:pPr>
              <w:rPr>
                <w:rFonts w:ascii="Calibri" w:hAnsi="Calibri" w:cs="Calibri"/>
                <w:color w:val="262627"/>
                <w:sz w:val="28"/>
                <w:szCs w:val="28"/>
              </w:rPr>
            </w:pPr>
            <w:r>
              <w:rPr>
                <w:rFonts w:ascii="Calibri" w:hAnsi="Calibri" w:cs="Calibri"/>
                <w:color w:val="262627"/>
                <w:sz w:val="28"/>
                <w:szCs w:val="28"/>
              </w:rPr>
              <w:t>CA</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1729A9" w:rsidRDefault="001729A9">
            <w:pPr>
              <w:rPr>
                <w:rFonts w:ascii="Calibri" w:hAnsi="Calibri" w:cs="Calibri"/>
                <w:color w:val="262627"/>
                <w:sz w:val="28"/>
                <w:szCs w:val="28"/>
              </w:rPr>
            </w:pPr>
            <w:r>
              <w:rPr>
                <w:rFonts w:ascii="Calibri" w:hAnsi="Calibri" w:cs="Calibri"/>
                <w:color w:val="262627"/>
                <w:sz w:val="28"/>
                <w:szCs w:val="28"/>
              </w:rPr>
              <w:t>Inclusive, comprehensive educational and residential program with a vocational component for young adults, ages 18 to 28 with intellectual/developmental disabilities. The program length is two years with optional additional years for remediation or special employment opportunity.</w:t>
            </w:r>
          </w:p>
        </w:tc>
      </w:tr>
      <w:tr w:rsidR="001729A9" w:rsidTr="001729A9">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1729A9" w:rsidRDefault="001729A9">
            <w:pPr>
              <w:rPr>
                <w:rFonts w:ascii="Calibri" w:hAnsi="Calibri" w:cs="Calibri"/>
                <w:color w:val="0000EE"/>
                <w:sz w:val="28"/>
                <w:szCs w:val="28"/>
                <w:u w:val="single"/>
              </w:rPr>
            </w:pPr>
            <w:hyperlink r:id="rId8" w:tgtFrame="_blank" w:history="1">
              <w:r>
                <w:rPr>
                  <w:rStyle w:val="Hyperlink"/>
                  <w:rFonts w:ascii="Calibri" w:hAnsi="Calibri" w:cs="Calibri"/>
                  <w:sz w:val="28"/>
                  <w:szCs w:val="28"/>
                </w:rPr>
                <w:t>Foothill College: Transition to Work</w:t>
              </w:r>
            </w:hyperlink>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1729A9" w:rsidRDefault="001729A9">
            <w:pPr>
              <w:rPr>
                <w:rFonts w:ascii="Calibri" w:hAnsi="Calibri" w:cs="Calibri"/>
                <w:color w:val="0000EE"/>
                <w:sz w:val="28"/>
                <w:szCs w:val="28"/>
                <w:u w:val="single"/>
              </w:rPr>
            </w:pP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1729A9" w:rsidRDefault="001729A9">
            <w:pPr>
              <w:rPr>
                <w:rFonts w:ascii="Calibri" w:hAnsi="Calibri" w:cs="Calibri"/>
                <w:color w:val="262627"/>
                <w:sz w:val="28"/>
                <w:szCs w:val="28"/>
              </w:rPr>
            </w:pPr>
            <w:r>
              <w:rPr>
                <w:rFonts w:ascii="Calibri" w:hAnsi="Calibri" w:cs="Calibri"/>
                <w:color w:val="262627"/>
                <w:sz w:val="28"/>
                <w:szCs w:val="28"/>
              </w:rPr>
              <w:t>Los Altos Hills</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1729A9" w:rsidRDefault="001729A9">
            <w:pPr>
              <w:rPr>
                <w:rFonts w:ascii="Calibri" w:hAnsi="Calibri" w:cs="Calibri"/>
                <w:color w:val="262627"/>
                <w:sz w:val="28"/>
                <w:szCs w:val="28"/>
              </w:rPr>
            </w:pPr>
            <w:r>
              <w:rPr>
                <w:rFonts w:ascii="Calibri" w:hAnsi="Calibri" w:cs="Calibri"/>
                <w:color w:val="262627"/>
                <w:sz w:val="28"/>
                <w:szCs w:val="28"/>
              </w:rPr>
              <w:t>CA</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1729A9" w:rsidRDefault="001729A9">
            <w:pPr>
              <w:rPr>
                <w:rFonts w:ascii="Calibri" w:hAnsi="Calibri" w:cs="Calibri"/>
                <w:color w:val="262627"/>
                <w:sz w:val="28"/>
                <w:szCs w:val="28"/>
              </w:rPr>
            </w:pPr>
            <w:r>
              <w:rPr>
                <w:rFonts w:ascii="Calibri" w:hAnsi="Calibri" w:cs="Calibri"/>
                <w:color w:val="262627"/>
                <w:sz w:val="28"/>
                <w:szCs w:val="28"/>
              </w:rPr>
              <w:t>The Transition to Work Program (TTW) is a 12-month vocational program designed for students with disabilities who can function independently on a college campus but may not have the ability to succeed in a traditional college classroom.</w:t>
            </w:r>
          </w:p>
        </w:tc>
      </w:tr>
      <w:tr w:rsidR="001729A9" w:rsidTr="001729A9">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1729A9" w:rsidRDefault="001729A9">
            <w:pPr>
              <w:rPr>
                <w:rFonts w:ascii="Calibri" w:hAnsi="Calibri" w:cs="Calibri"/>
                <w:color w:val="0000EE"/>
                <w:sz w:val="28"/>
                <w:szCs w:val="28"/>
                <w:u w:val="single"/>
              </w:rPr>
            </w:pPr>
            <w:hyperlink r:id="rId9" w:tgtFrame="_blank" w:history="1">
              <w:r>
                <w:rPr>
                  <w:rStyle w:val="Hyperlink"/>
                  <w:rFonts w:ascii="Calibri" w:hAnsi="Calibri" w:cs="Calibri"/>
                  <w:sz w:val="28"/>
                  <w:szCs w:val="28"/>
                </w:rPr>
                <w:t>College of Adaptive Arts</w:t>
              </w:r>
            </w:hyperlink>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1729A9" w:rsidRDefault="001729A9">
            <w:pPr>
              <w:rPr>
                <w:rFonts w:ascii="Calibri" w:hAnsi="Calibri" w:cs="Calibri"/>
                <w:color w:val="0000EE"/>
                <w:sz w:val="28"/>
                <w:szCs w:val="28"/>
                <w:u w:val="single"/>
              </w:rPr>
            </w:pP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1729A9" w:rsidRDefault="001729A9">
            <w:pPr>
              <w:rPr>
                <w:rFonts w:ascii="Calibri" w:hAnsi="Calibri" w:cs="Calibri"/>
                <w:color w:val="262627"/>
                <w:sz w:val="28"/>
                <w:szCs w:val="28"/>
              </w:rPr>
            </w:pPr>
            <w:r>
              <w:rPr>
                <w:rFonts w:ascii="Calibri" w:hAnsi="Calibri" w:cs="Calibri"/>
                <w:color w:val="262627"/>
                <w:sz w:val="28"/>
                <w:szCs w:val="28"/>
              </w:rPr>
              <w:t>San Jose</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1729A9" w:rsidRDefault="001729A9">
            <w:pPr>
              <w:rPr>
                <w:rFonts w:ascii="Calibri" w:hAnsi="Calibri" w:cs="Calibri"/>
                <w:color w:val="262627"/>
                <w:sz w:val="28"/>
                <w:szCs w:val="28"/>
              </w:rPr>
            </w:pPr>
            <w:r>
              <w:rPr>
                <w:rFonts w:ascii="Calibri" w:hAnsi="Calibri" w:cs="Calibri"/>
                <w:color w:val="262627"/>
                <w:sz w:val="28"/>
                <w:szCs w:val="28"/>
              </w:rPr>
              <w:t>CA</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1729A9" w:rsidRDefault="001729A9">
            <w:pPr>
              <w:rPr>
                <w:rFonts w:ascii="Calibri" w:hAnsi="Calibri" w:cs="Calibri"/>
                <w:color w:val="262627"/>
                <w:sz w:val="28"/>
                <w:szCs w:val="28"/>
              </w:rPr>
            </w:pPr>
            <w:r>
              <w:rPr>
                <w:rFonts w:ascii="Calibri" w:hAnsi="Calibri" w:cs="Calibri"/>
                <w:color w:val="262627"/>
                <w:sz w:val="28"/>
                <w:szCs w:val="28"/>
              </w:rPr>
              <w:t>CAA offers classes in the arts, health, and wellness</w:t>
            </w:r>
          </w:p>
        </w:tc>
      </w:tr>
      <w:tr w:rsidR="001729A9" w:rsidTr="001729A9">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1729A9" w:rsidRDefault="001729A9">
            <w:pPr>
              <w:rPr>
                <w:rFonts w:ascii="Calibri" w:hAnsi="Calibri" w:cs="Calibri"/>
                <w:color w:val="0000EE"/>
                <w:sz w:val="28"/>
                <w:szCs w:val="28"/>
                <w:u w:val="single"/>
              </w:rPr>
            </w:pPr>
            <w:hyperlink r:id="rId10" w:tgtFrame="_blank" w:history="1">
              <w:r>
                <w:rPr>
                  <w:rStyle w:val="Hyperlink"/>
                  <w:rFonts w:ascii="Calibri" w:hAnsi="Calibri" w:cs="Calibri"/>
                  <w:sz w:val="28"/>
                  <w:szCs w:val="28"/>
                </w:rPr>
                <w:t>UCLA Pathways Program</w:t>
              </w:r>
            </w:hyperlink>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1729A9" w:rsidRDefault="001729A9">
            <w:pPr>
              <w:rPr>
                <w:rFonts w:ascii="Calibri" w:hAnsi="Calibri" w:cs="Calibri"/>
                <w:color w:val="262627"/>
                <w:sz w:val="28"/>
                <w:szCs w:val="28"/>
              </w:rPr>
            </w:pPr>
            <w:r>
              <w:rPr>
                <w:rFonts w:ascii="Calibri" w:hAnsi="Calibri" w:cs="Calibri"/>
                <w:color w:val="262627"/>
                <w:sz w:val="28"/>
                <w:szCs w:val="28"/>
              </w:rPr>
              <w:t>Independent Living Program</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1729A9" w:rsidRDefault="001729A9">
            <w:pPr>
              <w:rPr>
                <w:rFonts w:ascii="Calibri" w:hAnsi="Calibri" w:cs="Calibri"/>
                <w:color w:val="262627"/>
                <w:sz w:val="28"/>
                <w:szCs w:val="28"/>
              </w:rPr>
            </w:pPr>
            <w:r>
              <w:rPr>
                <w:rFonts w:ascii="Calibri" w:hAnsi="Calibri" w:cs="Calibri"/>
                <w:color w:val="262627"/>
                <w:sz w:val="28"/>
                <w:szCs w:val="28"/>
              </w:rPr>
              <w:t>Los Angeles</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1729A9" w:rsidRDefault="001729A9">
            <w:pPr>
              <w:rPr>
                <w:rFonts w:ascii="Calibri" w:hAnsi="Calibri" w:cs="Calibri"/>
                <w:color w:val="262627"/>
                <w:sz w:val="28"/>
                <w:szCs w:val="28"/>
              </w:rPr>
            </w:pPr>
            <w:r>
              <w:rPr>
                <w:rFonts w:ascii="Calibri" w:hAnsi="Calibri" w:cs="Calibri"/>
                <w:color w:val="262627"/>
                <w:sz w:val="28"/>
                <w:szCs w:val="28"/>
              </w:rPr>
              <w:t>CA</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1729A9" w:rsidRDefault="001729A9">
            <w:pPr>
              <w:rPr>
                <w:rFonts w:ascii="Calibri" w:hAnsi="Calibri" w:cs="Calibri"/>
                <w:color w:val="262627"/>
                <w:sz w:val="28"/>
                <w:szCs w:val="28"/>
              </w:rPr>
            </w:pPr>
            <w:r>
              <w:rPr>
                <w:rFonts w:ascii="Calibri" w:hAnsi="Calibri" w:cs="Calibri"/>
                <w:color w:val="262627"/>
                <w:sz w:val="28"/>
                <w:szCs w:val="28"/>
              </w:rPr>
              <w:t>Pathways at UCLA Extension is a two-year program for students with intellectual and other developmental disabilities, offering a blend of educational, social, and vocational experiences, taught and supervised by experienced instructors sensitive to the individual needs of our students. On campus, Pathways students attend classes and participate with UCLA students in the many social, recreational, and cultural activities of a major university.</w:t>
            </w:r>
          </w:p>
        </w:tc>
      </w:tr>
    </w:tbl>
    <w:p w:rsidR="004002A9" w:rsidRDefault="004002A9" w:rsidP="004002A9"/>
    <w:sectPr w:rsidR="004002A9" w:rsidSect="004002A9">
      <w:pgSz w:w="12240" w:h="15840"/>
      <w:pgMar w:top="288" w:right="288" w:bottom="288" w:left="28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9267AC"/>
    <w:multiLevelType w:val="hybridMultilevel"/>
    <w:tmpl w:val="0AFE1D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4638"/>
    <w:rsid w:val="001729A9"/>
    <w:rsid w:val="004002A9"/>
    <w:rsid w:val="006D4638"/>
    <w:rsid w:val="00752455"/>
    <w:rsid w:val="008A23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B11CE86-19D5-40B5-805D-299118909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D4638"/>
    <w:rPr>
      <w:color w:val="0000FF"/>
      <w:u w:val="single"/>
    </w:rPr>
  </w:style>
  <w:style w:type="paragraph" w:styleId="ListParagraph">
    <w:name w:val="List Paragraph"/>
    <w:basedOn w:val="Normal"/>
    <w:uiPriority w:val="34"/>
    <w:qFormat/>
    <w:rsid w:val="004002A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2871178">
      <w:bodyDiv w:val="1"/>
      <w:marLeft w:val="0"/>
      <w:marRight w:val="0"/>
      <w:marTop w:val="0"/>
      <w:marBottom w:val="0"/>
      <w:divBdr>
        <w:top w:val="none" w:sz="0" w:space="0" w:color="auto"/>
        <w:left w:val="none" w:sz="0" w:space="0" w:color="auto"/>
        <w:bottom w:val="none" w:sz="0" w:space="0" w:color="auto"/>
        <w:right w:val="none" w:sz="0" w:space="0" w:color="auto"/>
      </w:divBdr>
    </w:div>
    <w:div w:id="1676152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oothill.edu/drc/ttw.php" TargetMode="External"/><Relationship Id="rId3" Type="http://schemas.openxmlformats.org/officeDocument/2006/relationships/settings" Target="settings.xml"/><Relationship Id="rId7" Type="http://schemas.openxmlformats.org/officeDocument/2006/relationships/hyperlink" Target="http://www.csufresno.edu/kremen/wayfinders/about/index.htm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alameda.peralta.edu/" TargetMode="External"/><Relationship Id="rId11" Type="http://schemas.openxmlformats.org/officeDocument/2006/relationships/fontTable" Target="fontTable.xml"/><Relationship Id="rId5" Type="http://schemas.openxmlformats.org/officeDocument/2006/relationships/hyperlink" Target="https://thinkcollege.net/college-search" TargetMode="External"/><Relationship Id="rId10" Type="http://schemas.openxmlformats.org/officeDocument/2006/relationships/hyperlink" Target="http://education.uclaextension.edu/pathway/" TargetMode="External"/><Relationship Id="rId4" Type="http://schemas.openxmlformats.org/officeDocument/2006/relationships/webSettings" Target="webSettings.xml"/><Relationship Id="rId9" Type="http://schemas.openxmlformats.org/officeDocument/2006/relationships/hyperlink" Target="http://www.collegeofadaptiveart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334</Words>
  <Characters>1909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2239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teacher</dc:creator>
  <cp:keywords/>
  <dc:description/>
  <cp:lastModifiedBy>teacher</cp:lastModifiedBy>
  <cp:revision>4</cp:revision>
  <dcterms:created xsi:type="dcterms:W3CDTF">2022-09-14T05:14:00Z</dcterms:created>
  <dcterms:modified xsi:type="dcterms:W3CDTF">2022-09-14T05:34:00Z</dcterms:modified>
</cp:coreProperties>
</file>