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4B26C" w14:textId="77777777">
      <w:pPr>
        <w:widowControl w:val="0"/>
        <w:autoSpaceDE w:val="0"/>
        <w:autoSpaceDN w:val="0"/>
        <w:adjustRightInd w:val="0"/>
        <w:spacing w:after="0"/>
        <w:ind w:right="18"/>
        <w:jc w:val="center"/>
        <w:rPr>
          <w:rStyle w:val="IntenseReference"/>
          <w:rFonts w:ascii="Times New Roman" w:hAnsi="Times New Roman"/>
          <w:color w:val="auto"/>
          <w:sz w:val="28"/>
          <w:szCs w:val="28"/>
          <w:u w:val="none"/>
        </w:rPr>
      </w:pPr>
      <w:r>
        <w:rPr>
          <w:rStyle w:val="IntenseReference"/>
          <w:rFonts w:ascii="Times New Roman" w:hAnsi="Times New Roman"/>
          <w:color w:val="auto"/>
          <w:sz w:val="28"/>
          <w:szCs w:val="28"/>
          <w:u w:val="none"/>
        </w:rPr>
        <w:t>Student Success Programs</w:t>
      </w:r>
    </w:p>
    <w:p w14:paraId="4A3D9C4B" w14:textId="77777777">
      <w:pPr>
        <w:widowControl w:val="0"/>
        <w:autoSpaceDE w:val="0"/>
        <w:autoSpaceDN w:val="0"/>
        <w:adjustRightInd w:val="0"/>
        <w:spacing w:after="0"/>
        <w:ind w:right="18"/>
        <w:jc w:val="center"/>
        <w:rPr>
          <w:rStyle w:val="IntenseReference"/>
          <w:rFonts w:ascii="Times New Roman" w:hAnsi="Times New Roman"/>
          <w:b w:val="0"/>
          <w:i/>
          <w:color w:val="auto"/>
          <w:sz w:val="24"/>
          <w:szCs w:val="24"/>
          <w:u w:val="none"/>
        </w:rPr>
      </w:pPr>
      <w:r>
        <w:rPr>
          <w:rStyle w:val="IntenseReference"/>
          <w:rFonts w:ascii="Times New Roman" w:hAnsi="Times New Roman"/>
          <w:b w:val="0"/>
          <w:i/>
          <w:color w:val="auto"/>
          <w:sz w:val="24"/>
          <w:szCs w:val="24"/>
          <w:u w:val="none"/>
        </w:rPr>
        <w:t xml:space="preserve">dba – Audeo Charter School ∙ The Charter School of San Diego </w:t>
      </w:r>
    </w:p>
    <w:p w14:paraId="38A1D8E4" w14:textId="77777777">
      <w:pPr>
        <w:widowControl w:val="0"/>
        <w:autoSpaceDE w:val="0"/>
        <w:autoSpaceDN w:val="0"/>
        <w:adjustRightInd w:val="0"/>
        <w:spacing w:after="0"/>
        <w:ind w:right="18"/>
        <w:jc w:val="center"/>
        <w:rPr>
          <w:rFonts w:ascii="Times New Roman" w:hAnsi="Times New Roman"/>
          <w:iCs/>
          <w:sz w:val="18"/>
          <w:szCs w:val="18"/>
        </w:rPr>
      </w:pPr>
      <w:r>
        <w:rPr>
          <w:rFonts w:ascii="Times New Roman" w:hAnsi="Times New Roman"/>
          <w:iCs/>
          <w:sz w:val="18"/>
          <w:szCs w:val="18"/>
        </w:rPr>
        <w:t>(A California Non-Profit Public Benefit Corporation)</w:t>
      </w:r>
    </w:p>
    <w:p w14:paraId="573082C9" w14:textId="77777777">
      <w:pPr>
        <w:widowControl w:val="0"/>
        <w:autoSpaceDE w:val="0"/>
        <w:autoSpaceDN w:val="0"/>
        <w:adjustRightInd w:val="0"/>
        <w:spacing w:after="0"/>
        <w:ind w:right="18"/>
        <w:jc w:val="center"/>
        <w:rPr>
          <w:rFonts w:ascii="Times New Roman" w:hAnsi="Times New Roman"/>
          <w:b/>
          <w:bCs/>
          <w:spacing w:val="6"/>
        </w:rPr>
      </w:pPr>
    </w:p>
    <w:p w14:paraId="1193C626" w14:textId="00571256">
      <w:pPr>
        <w:widowControl w:val="0"/>
        <w:autoSpaceDE w:val="0"/>
        <w:autoSpaceDN w:val="0"/>
        <w:adjustRightInd w:val="0"/>
        <w:spacing w:after="0"/>
        <w:ind w:right="18"/>
        <w:jc w:val="center"/>
        <w:rPr>
          <w:rFonts w:ascii="Times New Roman" w:hAnsi="Times New Roman"/>
        </w:rPr>
      </w:pPr>
      <w:r>
        <w:rPr>
          <w:rFonts w:ascii="Times New Roman" w:hAnsi="Times New Roman"/>
          <w:b/>
          <w:bCs/>
          <w:spacing w:val="6"/>
        </w:rPr>
        <w:t>COMPENSATION COMMITTEE</w:t>
      </w:r>
      <w:r>
        <w:rPr>
          <w:rFonts w:ascii="Times New Roman" w:hAnsi="Times New Roman"/>
          <w:b/>
          <w:bCs/>
          <w:spacing w:val="18"/>
        </w:rPr>
        <w:t xml:space="preserve"> </w:t>
      </w:r>
      <w:r>
        <w:rPr>
          <w:rFonts w:ascii="Times New Roman" w:hAnsi="Times New Roman"/>
          <w:b/>
          <w:bCs/>
          <w:spacing w:val="3"/>
        </w:rPr>
        <w:t>M</w:t>
      </w:r>
      <w:r>
        <w:rPr>
          <w:rFonts w:ascii="Times New Roman" w:hAnsi="Times New Roman"/>
          <w:b/>
          <w:bCs/>
          <w:spacing w:val="3"/>
          <w:w w:val="101"/>
        </w:rPr>
        <w:t>EET</w:t>
      </w:r>
      <w:r>
        <w:rPr>
          <w:rFonts w:ascii="Times New Roman" w:hAnsi="Times New Roman"/>
          <w:b/>
          <w:bCs/>
          <w:spacing w:val="6"/>
          <w:w w:val="101"/>
        </w:rPr>
        <w:t>I</w:t>
      </w:r>
      <w:r>
        <w:rPr>
          <w:rFonts w:ascii="Times New Roman" w:hAnsi="Times New Roman"/>
          <w:b/>
          <w:bCs/>
          <w:spacing w:val="3"/>
          <w:w w:val="101"/>
        </w:rPr>
        <w:t>N</w:t>
      </w:r>
      <w:r>
        <w:rPr>
          <w:rFonts w:ascii="Times New Roman" w:hAnsi="Times New Roman"/>
          <w:b/>
          <w:bCs/>
          <w:w w:val="101"/>
        </w:rPr>
        <w:t>G MINUTES</w:t>
      </w:r>
    </w:p>
    <w:p w14:paraId="6D25626A" w14:textId="1A607C66">
      <w:pPr>
        <w:widowControl w:val="0"/>
        <w:autoSpaceDE w:val="0"/>
        <w:autoSpaceDN w:val="0"/>
        <w:adjustRightInd w:val="0"/>
        <w:spacing w:before="1" w:after="0"/>
        <w:ind w:right="18"/>
        <w:jc w:val="center"/>
        <w:rPr>
          <w:rFonts w:ascii="Times New Roman" w:hAnsi="Times New Roman"/>
          <w:b/>
          <w:bCs/>
          <w:spacing w:val="2"/>
        </w:rPr>
      </w:pPr>
      <w:r>
        <w:rPr>
          <w:rFonts w:ascii="Times New Roman" w:hAnsi="Times New Roman"/>
          <w:b/>
          <w:bCs/>
          <w:spacing w:val="2"/>
        </w:rPr>
        <w:t>Thursday, November 17, 2022, 1:30 p.m.</w:t>
      </w:r>
    </w:p>
    <w:p w14:paraId="6DF71854" w14:textId="77777777">
      <w:pPr>
        <w:widowControl w:val="0"/>
        <w:autoSpaceDE w:val="0"/>
        <w:autoSpaceDN w:val="0"/>
        <w:adjustRightInd w:val="0"/>
        <w:spacing w:before="1" w:after="0"/>
        <w:ind w:right="18"/>
        <w:jc w:val="center"/>
        <w:rPr>
          <w:rFonts w:ascii="Times New Roman" w:hAnsi="Times New Roman"/>
          <w:b/>
          <w:bCs/>
          <w:spacing w:val="-1"/>
        </w:rPr>
      </w:pPr>
      <w:r>
        <w:rPr>
          <w:rFonts w:ascii="Times New Roman" w:hAnsi="Times New Roman"/>
          <w:b/>
          <w:bCs/>
          <w:spacing w:val="-1"/>
        </w:rPr>
        <w:t>Via Video Conference</w:t>
      </w:r>
    </w:p>
    <w:p w14:paraId="3B6D3A6A" w14:textId="77777777">
      <w:pPr>
        <w:widowControl w:val="0"/>
        <w:autoSpaceDE w:val="0"/>
        <w:autoSpaceDN w:val="0"/>
        <w:adjustRightInd w:val="0"/>
        <w:spacing w:before="1" w:after="0"/>
        <w:ind w:left="-720" w:right="-630"/>
        <w:jc w:val="center"/>
        <w:rPr>
          <w:rFonts w:ascii="Times New Roman" w:hAnsi="Times New Roman"/>
          <w:bCs/>
          <w:spacing w:val="2"/>
          <w:sz w:val="20"/>
          <w:szCs w:val="20"/>
        </w:rPr>
      </w:pPr>
    </w:p>
    <w:p w14:paraId="6866BD90" w14:textId="53B5C722">
      <w:pPr>
        <w:widowControl w:val="0"/>
        <w:autoSpaceDE w:val="0"/>
        <w:autoSpaceDN w:val="0"/>
        <w:adjustRightInd w:val="0"/>
        <w:spacing w:before="1" w:after="0"/>
        <w:ind w:left="-720" w:right="-630"/>
        <w:jc w:val="center"/>
        <w:rPr>
          <w:rFonts w:ascii="Times New Roman" w:hAnsi="Times New Roman"/>
          <w:bCs/>
          <w:spacing w:val="2"/>
          <w:sz w:val="20"/>
          <w:szCs w:val="20"/>
        </w:rPr>
      </w:pPr>
      <w:r>
        <w:rPr>
          <w:rFonts w:ascii="Times New Roman" w:hAnsi="Times New Roman"/>
          <w:bCs/>
          <w:spacing w:val="2"/>
          <w:sz w:val="20"/>
          <w:szCs w:val="20"/>
        </w:rPr>
        <w:t>Access to the live video conference was made available prior to the start of the meeting at</w:t>
      </w:r>
    </w:p>
    <w:p w14:paraId="48831AF9" w14:textId="77777777">
      <w:pPr>
        <w:spacing w:after="0" w:line="240" w:lineRule="auto"/>
        <w:jc w:val="center"/>
        <w:rPr>
          <w:rFonts w:ascii="Times New Roman" w:hAnsi="Times New Roman"/>
          <w:sz w:val="20"/>
          <w:szCs w:val="20"/>
        </w:rPr>
      </w:pPr>
      <w:r>
        <w:rPr>
          <w:rFonts w:ascii="Times New Roman" w:hAnsi="Times New Roman"/>
          <w:sz w:val="20"/>
          <w:szCs w:val="20"/>
        </w:rPr>
        <w:t xml:space="preserve">CSSD: </w:t>
      </w:r>
      <w:hyperlink r:id="rId7" w:history="1">
        <w:r>
          <w:rPr>
            <w:rStyle w:val="Hyperlink"/>
            <w:rFonts w:ascii="Times New Roman" w:hAnsi="Times New Roman"/>
            <w:sz w:val="20"/>
            <w:szCs w:val="20"/>
          </w:rPr>
          <w:t>https://charterschool-sandiego.net/board-governance/</w:t>
        </w:r>
      </w:hyperlink>
    </w:p>
    <w:p w14:paraId="68AE9E3E" w14:textId="77777777">
      <w:pPr>
        <w:spacing w:after="0" w:line="240" w:lineRule="auto"/>
        <w:jc w:val="center"/>
        <w:rPr>
          <w:rFonts w:ascii="Times New Roman" w:hAnsi="Times New Roman"/>
          <w:sz w:val="20"/>
          <w:szCs w:val="20"/>
        </w:rPr>
      </w:pPr>
      <w:r>
        <w:rPr>
          <w:rFonts w:ascii="Times New Roman" w:hAnsi="Times New Roman"/>
          <w:sz w:val="20"/>
          <w:szCs w:val="20"/>
        </w:rPr>
        <w:t xml:space="preserve">Audeo: </w:t>
      </w:r>
      <w:hyperlink r:id="rId8" w:history="1">
        <w:r>
          <w:rPr>
            <w:rStyle w:val="Hyperlink"/>
            <w:rFonts w:ascii="Times New Roman" w:hAnsi="Times New Roman"/>
            <w:sz w:val="20"/>
            <w:szCs w:val="20"/>
          </w:rPr>
          <w:t>https://www.audeocharterschool.net/board-of-directors/</w:t>
        </w:r>
      </w:hyperlink>
    </w:p>
    <w:p w14:paraId="3911ACC8" w14:textId="77777777">
      <w:pPr>
        <w:widowControl w:val="0"/>
        <w:autoSpaceDE w:val="0"/>
        <w:autoSpaceDN w:val="0"/>
        <w:adjustRightInd w:val="0"/>
        <w:spacing w:after="0"/>
        <w:ind w:right="18"/>
        <w:jc w:val="center"/>
        <w:rPr>
          <w:rFonts w:ascii="Times New Roman" w:hAnsi="Times New Roman"/>
        </w:rPr>
      </w:pPr>
      <w:r>
        <w:rPr>
          <w:rFonts w:ascii="Times New Roman" w:hAnsi="Times New Roman"/>
        </w:rPr>
        <w:t>______________________________________________________________________________</w:t>
      </w:r>
    </w:p>
    <w:p w14:paraId="761E3804" w14:textId="77777777">
      <w:pPr>
        <w:widowControl w:val="0"/>
        <w:autoSpaceDE w:val="0"/>
        <w:autoSpaceDN w:val="0"/>
        <w:adjustRightInd w:val="0"/>
        <w:spacing w:before="1" w:after="0"/>
        <w:ind w:right="18"/>
        <w:jc w:val="center"/>
        <w:rPr>
          <w:rFonts w:ascii="Times New Roman" w:hAnsi="Times New Roman"/>
          <w:spacing w:val="4"/>
          <w:sz w:val="20"/>
          <w:szCs w:val="20"/>
        </w:rPr>
      </w:pPr>
    </w:p>
    <w:p w14:paraId="0AE26574" w14:textId="434CBC95">
      <w:pPr>
        <w:pStyle w:val="ListParagraph"/>
        <w:numPr>
          <w:ilvl w:val="0"/>
          <w:numId w:val="1"/>
        </w:numPr>
        <w:rPr>
          <w:rFonts w:ascii="Times New Roman" w:hAnsi="Times New Roman"/>
          <w:b/>
          <w:bCs/>
        </w:rPr>
      </w:pPr>
      <w:r>
        <w:rPr>
          <w:rFonts w:ascii="Times New Roman" w:hAnsi="Times New Roman"/>
          <w:b/>
          <w:bCs/>
        </w:rPr>
        <w:t>OPEN SESSION</w:t>
      </w:r>
    </w:p>
    <w:p w14:paraId="1F6A124C" w14:textId="7FA55889">
      <w:pPr>
        <w:pStyle w:val="ListParagraph"/>
        <w:numPr>
          <w:ilvl w:val="1"/>
          <w:numId w:val="1"/>
        </w:numPr>
        <w:rPr>
          <w:rFonts w:ascii="Times New Roman" w:hAnsi="Times New Roman"/>
        </w:rPr>
      </w:pPr>
      <w:r>
        <w:rPr>
          <w:rFonts w:ascii="Times New Roman" w:hAnsi="Times New Roman"/>
        </w:rPr>
        <w:t>Call to Order</w:t>
      </w:r>
    </w:p>
    <w:p w14:paraId="05428346" w14:textId="623F7023">
      <w:pPr>
        <w:pStyle w:val="ListParagraph"/>
        <w:ind w:left="1080"/>
        <w:rPr>
          <w:rFonts w:ascii="Times New Roman" w:hAnsi="Times New Roman"/>
          <w:i/>
          <w:iCs/>
        </w:rPr>
      </w:pPr>
      <w:r>
        <w:rPr>
          <w:rFonts w:ascii="Times New Roman" w:hAnsi="Times New Roman"/>
          <w:i/>
          <w:iCs/>
        </w:rPr>
        <w:t>Hering called the meeting to order at 1:36 p.m.</w:t>
      </w:r>
    </w:p>
    <w:p w14:paraId="36BDC9C1" w14:textId="77777777">
      <w:pPr>
        <w:pStyle w:val="ListParagraph"/>
        <w:ind w:left="1080"/>
        <w:rPr>
          <w:rFonts w:ascii="Times New Roman" w:hAnsi="Times New Roman"/>
        </w:rPr>
      </w:pPr>
    </w:p>
    <w:p w14:paraId="5FE5EE52" w14:textId="20121937">
      <w:pPr>
        <w:pStyle w:val="ListParagraph"/>
        <w:numPr>
          <w:ilvl w:val="1"/>
          <w:numId w:val="1"/>
        </w:numPr>
        <w:rPr>
          <w:rFonts w:ascii="Times New Roman" w:hAnsi="Times New Roman"/>
        </w:rPr>
      </w:pPr>
      <w:r>
        <w:rPr>
          <w:rFonts w:ascii="Times New Roman" w:hAnsi="Times New Roman"/>
        </w:rPr>
        <w:t>Roll Call</w:t>
      </w:r>
    </w:p>
    <w:p w14:paraId="3F7544D0" w14:textId="7388938B">
      <w:pPr>
        <w:pStyle w:val="ListParagraph"/>
        <w:ind w:left="1080"/>
        <w:rPr>
          <w:rFonts w:ascii="Times New Roman" w:hAnsi="Times New Roman"/>
          <w:i/>
          <w:iCs/>
        </w:rPr>
      </w:pPr>
      <w:r>
        <w:rPr>
          <w:rFonts w:ascii="Times New Roman" w:hAnsi="Times New Roman"/>
          <w:i/>
          <w:iCs/>
        </w:rPr>
        <w:t>Committee Members present were David Crean and Len Hering.</w:t>
      </w:r>
    </w:p>
    <w:p w14:paraId="5991328E" w14:textId="54B9104F">
      <w:pPr>
        <w:pStyle w:val="ListParagraph"/>
        <w:ind w:left="1080"/>
        <w:rPr>
          <w:rFonts w:ascii="Times New Roman" w:hAnsi="Times New Roman"/>
          <w:i/>
          <w:iCs/>
        </w:rPr>
      </w:pPr>
      <w:r>
        <w:rPr>
          <w:rFonts w:ascii="Times New Roman" w:hAnsi="Times New Roman"/>
          <w:i/>
          <w:iCs/>
        </w:rPr>
        <w:t>Also in attendance:  Paul Minney, Chastin Pierman, and Angela Neri.</w:t>
      </w:r>
    </w:p>
    <w:p w14:paraId="715E0867" w14:textId="77777777">
      <w:pPr>
        <w:pStyle w:val="ListParagraph"/>
        <w:ind w:left="360"/>
        <w:rPr>
          <w:rFonts w:ascii="Times New Roman" w:hAnsi="Times New Roman"/>
        </w:rPr>
      </w:pPr>
    </w:p>
    <w:p w14:paraId="2E4088A7" w14:textId="41BC6001">
      <w:pPr>
        <w:pStyle w:val="ListParagraph"/>
        <w:numPr>
          <w:ilvl w:val="1"/>
          <w:numId w:val="1"/>
        </w:numPr>
        <w:rPr>
          <w:rFonts w:ascii="Times New Roman" w:hAnsi="Times New Roman"/>
        </w:rPr>
      </w:pPr>
      <w:r>
        <w:rPr>
          <w:rFonts w:ascii="Times New Roman" w:hAnsi="Times New Roman"/>
        </w:rPr>
        <w:t>Pledge of Allegiance</w:t>
      </w:r>
    </w:p>
    <w:p w14:paraId="72BBE2BF" w14:textId="74032136">
      <w:pPr>
        <w:pStyle w:val="ListParagraph"/>
        <w:ind w:left="1080"/>
        <w:rPr>
          <w:rFonts w:ascii="Times New Roman" w:hAnsi="Times New Roman"/>
          <w:i/>
          <w:iCs/>
        </w:rPr>
      </w:pPr>
      <w:r>
        <w:rPr>
          <w:rFonts w:ascii="Times New Roman" w:hAnsi="Times New Roman"/>
          <w:i/>
          <w:iCs/>
        </w:rPr>
        <w:t>Hering led all in the Pledge of Allegiance.</w:t>
      </w:r>
    </w:p>
    <w:p w14:paraId="100409FD" w14:textId="77777777">
      <w:pPr>
        <w:pStyle w:val="ListParagraph"/>
        <w:ind w:left="360"/>
        <w:rPr>
          <w:rFonts w:ascii="Times New Roman" w:hAnsi="Times New Roman"/>
        </w:rPr>
      </w:pPr>
    </w:p>
    <w:p w14:paraId="2C026103" w14:textId="64FDEBC9">
      <w:pPr>
        <w:pStyle w:val="ListParagraph"/>
        <w:numPr>
          <w:ilvl w:val="1"/>
          <w:numId w:val="1"/>
        </w:numPr>
        <w:rPr>
          <w:rFonts w:ascii="Times New Roman" w:hAnsi="Times New Roman"/>
        </w:rPr>
      </w:pPr>
      <w:r>
        <w:rPr>
          <w:rFonts w:ascii="Times New Roman" w:hAnsi="Times New Roman"/>
        </w:rPr>
        <w:t xml:space="preserve">Approval of Agenda </w:t>
      </w:r>
    </w:p>
    <w:p w14:paraId="4108E8A9" w14:textId="22DF73CB">
      <w:pPr>
        <w:pStyle w:val="ListParagraph"/>
        <w:widowControl w:val="0"/>
        <w:autoSpaceDE w:val="0"/>
        <w:autoSpaceDN w:val="0"/>
        <w:adjustRightInd w:val="0"/>
        <w:spacing w:before="1" w:after="0"/>
        <w:ind w:right="647" w:firstLine="360"/>
        <w:jc w:val="both"/>
        <w:rPr>
          <w:rFonts w:ascii="Times New Roman" w:hAnsi="Times New Roman"/>
          <w:i/>
          <w:iCs/>
        </w:rPr>
      </w:pPr>
      <w:r>
        <w:rPr>
          <w:rFonts w:ascii="Times New Roman" w:hAnsi="Times New Roman"/>
          <w:i/>
          <w:iCs/>
        </w:rPr>
        <w:t>It was moved by Crean and seconded by Hering to Approve the Agenda.</w:t>
      </w:r>
    </w:p>
    <w:p w14:paraId="0DD27397" w14:textId="0ADC5A67">
      <w:pPr>
        <w:pStyle w:val="ListParagraph"/>
        <w:widowControl w:val="0"/>
        <w:autoSpaceDE w:val="0"/>
        <w:autoSpaceDN w:val="0"/>
        <w:adjustRightInd w:val="0"/>
        <w:spacing w:before="1" w:after="0"/>
        <w:ind w:right="647" w:firstLine="360"/>
        <w:rPr>
          <w:rFonts w:ascii="Times New Roman" w:hAnsi="Times New Roman"/>
          <w:b/>
          <w:i/>
          <w:iCs/>
        </w:rPr>
      </w:pPr>
      <w:r>
        <w:rPr>
          <w:rFonts w:ascii="Times New Roman" w:hAnsi="Times New Roman"/>
          <w:i/>
          <w:iCs/>
        </w:rPr>
        <w:t>Ayes – 2, Nays- 0, Absent – 0, Abstain – 0, Motioned Approved.</w:t>
      </w:r>
    </w:p>
    <w:p w14:paraId="509815F8" w14:textId="05FFE384">
      <w:pPr>
        <w:pStyle w:val="ListParagraph"/>
        <w:ind w:left="1080"/>
        <w:rPr>
          <w:rFonts w:ascii="Times New Roman" w:hAnsi="Times New Roman"/>
          <w:sz w:val="20"/>
          <w:szCs w:val="20"/>
        </w:rPr>
      </w:pPr>
    </w:p>
    <w:p w14:paraId="3FBBCF5C" w14:textId="5DBEA927">
      <w:pPr>
        <w:pStyle w:val="ListParagraph"/>
        <w:numPr>
          <w:ilvl w:val="0"/>
          <w:numId w:val="1"/>
        </w:numPr>
        <w:rPr>
          <w:rFonts w:ascii="Times New Roman" w:hAnsi="Times New Roman"/>
          <w:b/>
          <w:bCs/>
        </w:rPr>
      </w:pPr>
      <w:r>
        <w:rPr>
          <w:rFonts w:ascii="Times New Roman" w:hAnsi="Times New Roman"/>
          <w:b/>
          <w:bCs/>
        </w:rPr>
        <w:t>PUBLIC COMMENT</w:t>
      </w:r>
    </w:p>
    <w:p w14:paraId="674630B8" w14:textId="282A7657">
      <w:pPr>
        <w:pStyle w:val="ListParagraph"/>
        <w:numPr>
          <w:ilvl w:val="1"/>
          <w:numId w:val="1"/>
        </w:numPr>
        <w:rPr>
          <w:rFonts w:ascii="Times New Roman" w:hAnsi="Times New Roman"/>
        </w:rPr>
      </w:pPr>
      <w:r>
        <w:rPr>
          <w:rFonts w:ascii="Times New Roman" w:hAnsi="Times New Roman"/>
        </w:rPr>
        <w:t>Agenda Public Comment</w:t>
      </w:r>
    </w:p>
    <w:p w14:paraId="000AA26E" w14:textId="12EF6E77">
      <w:pPr>
        <w:pStyle w:val="ListParagraph"/>
        <w:ind w:left="1080"/>
        <w:rPr>
          <w:rFonts w:ascii="Times New Roman" w:hAnsi="Times New Roman"/>
          <w:i/>
          <w:iCs/>
        </w:rPr>
      </w:pPr>
      <w:r>
        <w:rPr>
          <w:rFonts w:ascii="Times New Roman" w:hAnsi="Times New Roman"/>
          <w:i/>
          <w:iCs/>
        </w:rPr>
        <w:t>There were no comments from the public.</w:t>
      </w:r>
    </w:p>
    <w:p w14:paraId="4FA35F2D" w14:textId="766C2504">
      <w:pPr>
        <w:pStyle w:val="ListParagraph"/>
        <w:ind w:left="1080"/>
        <w:rPr>
          <w:rFonts w:ascii="Times New Roman" w:hAnsi="Times New Roman"/>
        </w:rPr>
      </w:pPr>
    </w:p>
    <w:p w14:paraId="4A31B643" w14:textId="6EC1B0DE">
      <w:pPr>
        <w:pStyle w:val="ListParagraph"/>
        <w:numPr>
          <w:ilvl w:val="0"/>
          <w:numId w:val="1"/>
        </w:numPr>
        <w:rPr>
          <w:rFonts w:ascii="Times New Roman" w:hAnsi="Times New Roman"/>
          <w:b/>
          <w:bCs/>
        </w:rPr>
      </w:pPr>
      <w:r>
        <w:rPr>
          <w:rFonts w:ascii="Times New Roman" w:hAnsi="Times New Roman"/>
          <w:b/>
          <w:bCs/>
        </w:rPr>
        <w:t>CLOSED SESSION</w:t>
      </w:r>
    </w:p>
    <w:p w14:paraId="17AB36A7" w14:textId="509CCC30">
      <w:pPr>
        <w:pStyle w:val="ListParagraph"/>
        <w:ind w:left="360"/>
        <w:rPr>
          <w:rFonts w:ascii="Times New Roman" w:hAnsi="Times New Roman"/>
          <w:i/>
          <w:iCs/>
        </w:rPr>
      </w:pPr>
      <w:r>
        <w:rPr>
          <w:rFonts w:ascii="Times New Roman" w:hAnsi="Times New Roman"/>
          <w:i/>
          <w:iCs/>
        </w:rPr>
        <w:t>The Closed Session began</w:t>
      </w:r>
      <w:r>
        <w:rPr>
          <w:rFonts w:ascii="Times New Roman" w:hAnsi="Times New Roman"/>
          <w:i/>
          <w:iCs/>
        </w:rPr>
        <w:t xml:space="preserve"> </w:t>
      </w:r>
      <w:r>
        <w:rPr>
          <w:rFonts w:ascii="Times New Roman" w:hAnsi="Times New Roman"/>
          <w:i/>
          <w:iCs/>
        </w:rPr>
        <w:t>at 1:39 p.m.</w:t>
      </w:r>
    </w:p>
    <w:p w14:paraId="49A93364" w14:textId="77777777">
      <w:pPr>
        <w:pStyle w:val="ListParagraph"/>
        <w:ind w:left="360"/>
        <w:rPr>
          <w:rFonts w:ascii="Times New Roman" w:hAnsi="Times New Roman"/>
        </w:rPr>
      </w:pPr>
    </w:p>
    <w:p w14:paraId="169F6632" w14:textId="7109E3BB">
      <w:pPr>
        <w:pStyle w:val="ListParagraph"/>
        <w:numPr>
          <w:ilvl w:val="1"/>
          <w:numId w:val="1"/>
        </w:numPr>
        <w:rPr>
          <w:rFonts w:ascii="Times New Roman" w:hAnsi="Times New Roman"/>
        </w:rPr>
      </w:pPr>
      <w:r>
        <w:rPr>
          <w:rFonts w:ascii="Times New Roman" w:hAnsi="Times New Roman"/>
          <w:b/>
          <w:bCs/>
        </w:rPr>
        <w:t xml:space="preserve">  </w:t>
      </w:r>
      <w:r>
        <w:rPr>
          <w:rFonts w:ascii="Times New Roman" w:hAnsi="Times New Roman"/>
        </w:rPr>
        <w:t>Committee Chairman Announcement Regarding Closed Session Items</w:t>
      </w:r>
    </w:p>
    <w:p w14:paraId="2372739F" w14:textId="15B1E9E2">
      <w:pPr>
        <w:pStyle w:val="ListParagraph"/>
        <w:ind w:left="1080"/>
        <w:rPr>
          <w:rFonts w:ascii="Times New Roman" w:hAnsi="Times New Roman"/>
          <w:b/>
          <w:bCs/>
        </w:rPr>
      </w:pPr>
    </w:p>
    <w:p w14:paraId="6566330E" w14:textId="551AC5E4">
      <w:pPr>
        <w:pStyle w:val="ListParagraph"/>
        <w:ind w:left="1080"/>
        <w:rPr>
          <w:rFonts w:ascii="Times New Roman" w:hAnsi="Times New Roman"/>
          <w:b/>
          <w:bCs/>
        </w:rPr>
      </w:pPr>
      <w:r>
        <w:rPr>
          <w:rFonts w:ascii="Times New Roman" w:hAnsi="Times New Roman"/>
          <w:b/>
          <w:bCs/>
        </w:rPr>
        <w:t>MOVE TO CLOSED SESSION</w:t>
      </w:r>
    </w:p>
    <w:p w14:paraId="7E84844D" w14:textId="3AEE8BA4">
      <w:pPr>
        <w:widowControl w:val="0"/>
        <w:numPr>
          <w:ilvl w:val="2"/>
          <w:numId w:val="1"/>
        </w:numPr>
        <w:autoSpaceDE w:val="0"/>
        <w:autoSpaceDN w:val="0"/>
        <w:adjustRightInd w:val="0"/>
        <w:spacing w:before="1" w:after="0"/>
        <w:jc w:val="both"/>
        <w:rPr>
          <w:rFonts w:ascii="Times New Roman" w:hAnsi="Times New Roman"/>
          <w:bCs/>
        </w:rPr>
      </w:pPr>
      <w:r>
        <w:rPr>
          <w:rFonts w:ascii="Times New Roman" w:hAnsi="Times New Roman"/>
          <w:bCs/>
        </w:rPr>
        <w:t>Conference with Labor Negotiators Agency Designated Representative:  Rea</w:t>
      </w:r>
      <w:r>
        <w:rPr>
          <w:rFonts w:ascii="Times New Roman" w:hAnsi="Times New Roman"/>
          <w:bCs/>
        </w:rPr>
        <w:t>r</w:t>
      </w:r>
      <w:r>
        <w:rPr>
          <w:rFonts w:ascii="Times New Roman" w:hAnsi="Times New Roman"/>
          <w:bCs/>
        </w:rPr>
        <w:t xml:space="preserve"> Admiral Len Hering, Unrepresented Employee:  Founder, President, and Chief Executive Officer</w:t>
      </w:r>
    </w:p>
    <w:p w14:paraId="5CD22C78" w14:textId="69B33473">
      <w:pPr>
        <w:pStyle w:val="ListParagraph"/>
        <w:numPr>
          <w:ilvl w:val="2"/>
          <w:numId w:val="1"/>
        </w:numPr>
        <w:rPr>
          <w:rFonts w:ascii="Times New Roman" w:hAnsi="Times New Roman"/>
        </w:rPr>
      </w:pPr>
      <w:r>
        <w:rPr>
          <w:rFonts w:ascii="Times New Roman" w:hAnsi="Times New Roman"/>
        </w:rPr>
        <w:t>Conference with Labor Negotiators Agency Designated Representative:  Rear Admiral Len Hering, Unrepresented Employee:  Chief Business Officer, Chief Financial Officer/Treasurer, Founding Director</w:t>
      </w:r>
    </w:p>
    <w:p w14:paraId="33CEF48F" w14:textId="77777777">
      <w:pPr>
        <w:pStyle w:val="ListParagraph"/>
        <w:ind w:left="2160"/>
        <w:rPr>
          <w:rFonts w:ascii="Times New Roman" w:hAnsi="Times New Roman"/>
          <w:sz w:val="20"/>
          <w:szCs w:val="20"/>
        </w:rPr>
      </w:pPr>
    </w:p>
    <w:p w14:paraId="1F357532" w14:textId="3E0C71F9">
      <w:pPr>
        <w:pStyle w:val="ListParagraph"/>
        <w:numPr>
          <w:ilvl w:val="0"/>
          <w:numId w:val="1"/>
        </w:numPr>
        <w:rPr>
          <w:rFonts w:ascii="Times New Roman" w:hAnsi="Times New Roman"/>
          <w:b/>
          <w:bCs/>
        </w:rPr>
      </w:pPr>
      <w:r>
        <w:rPr>
          <w:rFonts w:ascii="Times New Roman" w:hAnsi="Times New Roman"/>
          <w:b/>
          <w:bCs/>
        </w:rPr>
        <w:t xml:space="preserve">RETURN TO OPEN SESSION </w:t>
      </w:r>
    </w:p>
    <w:p w14:paraId="7E7D3BA3" w14:textId="3BBA5DD9">
      <w:pPr>
        <w:pStyle w:val="ListParagraph"/>
        <w:ind w:left="360"/>
        <w:rPr>
          <w:rFonts w:ascii="Times New Roman" w:hAnsi="Times New Roman"/>
          <w:i/>
          <w:iCs/>
        </w:rPr>
      </w:pPr>
      <w:r>
        <w:rPr>
          <w:rFonts w:ascii="Times New Roman" w:hAnsi="Times New Roman"/>
          <w:i/>
          <w:iCs/>
        </w:rPr>
        <w:t>The Committee returned to Open Session at 2:14 p.m.</w:t>
      </w:r>
    </w:p>
    <w:p w14:paraId="4BB294FF" w14:textId="77777777">
      <w:pPr>
        <w:pStyle w:val="ListParagraph"/>
        <w:ind w:left="360"/>
        <w:rPr>
          <w:rFonts w:ascii="Times New Roman" w:hAnsi="Times New Roman"/>
          <w:b/>
          <w:bCs/>
        </w:rPr>
      </w:pPr>
    </w:p>
    <w:p w14:paraId="25E0579C" w14:textId="00B0650D">
      <w:pPr>
        <w:pStyle w:val="ListParagraph"/>
        <w:numPr>
          <w:ilvl w:val="1"/>
          <w:numId w:val="1"/>
        </w:numPr>
        <w:rPr>
          <w:rFonts w:ascii="Times New Roman" w:hAnsi="Times New Roman"/>
        </w:rPr>
      </w:pPr>
      <w:r>
        <w:rPr>
          <w:rFonts w:ascii="Times New Roman" w:hAnsi="Times New Roman"/>
        </w:rPr>
        <w:t>Report out any action taken in closed session</w:t>
      </w:r>
    </w:p>
    <w:p w14:paraId="3DC9C234" w14:textId="72851BB3">
      <w:pPr>
        <w:pStyle w:val="ListParagraph"/>
        <w:ind w:left="1080"/>
        <w:rPr>
          <w:rFonts w:ascii="Times New Roman" w:hAnsi="Times New Roman"/>
          <w:i/>
          <w:iCs/>
        </w:rPr>
      </w:pPr>
      <w:r>
        <w:rPr>
          <w:rFonts w:ascii="Times New Roman" w:hAnsi="Times New Roman"/>
          <w:i/>
          <w:iCs/>
        </w:rPr>
        <w:t>Hering reported that no actions were taken in closed session.</w:t>
      </w:r>
    </w:p>
    <w:p w14:paraId="33485C0F" w14:textId="5EB3F804">
      <w:pPr>
        <w:pStyle w:val="ListParagraph"/>
        <w:ind w:left="1080"/>
        <w:rPr>
          <w:rFonts w:ascii="Times New Roman" w:hAnsi="Times New Roman"/>
          <w:b/>
          <w:bCs/>
        </w:rPr>
      </w:pPr>
    </w:p>
    <w:p w14:paraId="680E7FC1" w14:textId="638A1B42">
      <w:pPr>
        <w:pStyle w:val="ListParagraph"/>
        <w:numPr>
          <w:ilvl w:val="0"/>
          <w:numId w:val="1"/>
        </w:numPr>
        <w:rPr>
          <w:rFonts w:ascii="Times New Roman" w:hAnsi="Times New Roman"/>
          <w:b/>
          <w:bCs/>
        </w:rPr>
      </w:pPr>
      <w:r>
        <w:rPr>
          <w:rFonts w:ascii="Times New Roman" w:hAnsi="Times New Roman"/>
          <w:b/>
          <w:bCs/>
        </w:rPr>
        <w:t>ADMINISTRATIVE ITEMS</w:t>
      </w:r>
    </w:p>
    <w:p w14:paraId="6B6B8D32" w14:textId="28BBEBBB">
      <w:pPr>
        <w:pStyle w:val="ListParagraph"/>
        <w:numPr>
          <w:ilvl w:val="1"/>
          <w:numId w:val="1"/>
        </w:numPr>
        <w:rPr>
          <w:rFonts w:ascii="Times New Roman" w:hAnsi="Times New Roman"/>
        </w:rPr>
      </w:pPr>
      <w:r>
        <w:rPr>
          <w:rFonts w:ascii="Times New Roman" w:hAnsi="Times New Roman"/>
        </w:rPr>
        <w:t>Review of Comparable Compensation Data for CEOs/Superintendent/Executive Director</w:t>
      </w:r>
    </w:p>
    <w:p w14:paraId="10639A01" w14:textId="6C6FF45B">
      <w:pPr>
        <w:pStyle w:val="ListParagraph"/>
        <w:ind w:left="1080"/>
        <w:jc w:val="both"/>
        <w:rPr>
          <w:rFonts w:ascii="Times New Roman" w:hAnsi="Times New Roman"/>
          <w:i/>
          <w:iCs/>
        </w:rPr>
      </w:pPr>
      <w:r>
        <w:rPr>
          <w:rFonts w:ascii="Times New Roman" w:hAnsi="Times New Roman"/>
          <w:i/>
          <w:iCs/>
        </w:rPr>
        <w:t xml:space="preserve">Hering stated the following: </w:t>
      </w:r>
    </w:p>
    <w:p w14:paraId="1DFE48D6" w14:textId="77777777">
      <w:pPr>
        <w:pStyle w:val="ListParagraph"/>
        <w:ind w:left="1080"/>
        <w:jc w:val="both"/>
        <w:rPr>
          <w:rFonts w:ascii="Times New Roman" w:hAnsi="Times New Roman"/>
          <w:i/>
          <w:iCs/>
        </w:rPr>
      </w:pPr>
    </w:p>
    <w:p w14:paraId="740773E2" w14:textId="1F6EBB89">
      <w:pPr>
        <w:pStyle w:val="ListParagraph"/>
        <w:ind w:left="1800"/>
        <w:jc w:val="both"/>
        <w:rPr>
          <w:rFonts w:ascii="Times New Roman" w:hAnsi="Times New Roman"/>
          <w:i/>
          <w:iCs/>
        </w:rPr>
      </w:pPr>
      <w:r>
        <w:rPr>
          <w:rFonts w:ascii="Times New Roman" w:hAnsi="Times New Roman"/>
          <w:i/>
          <w:iCs/>
        </w:rPr>
        <w:t>The California Nonprofit Integrity Act of 2004 mandates that the SSP Board review comparable executive compensation packages for educational executives upon any of the following events: (1) initially upon hiring the educational executive; or (2) whenever the executive’s term of employment is renewed or extended; or (3) whenever the executive’s compensation is modified, unless the modification extends to substantially all employees in the organization.</w:t>
      </w:r>
    </w:p>
    <w:p w14:paraId="3D2EAB89" w14:textId="77777777">
      <w:pPr>
        <w:pStyle w:val="ListParagraph"/>
        <w:ind w:left="1800"/>
        <w:jc w:val="both"/>
        <w:rPr>
          <w:rFonts w:ascii="Times New Roman" w:hAnsi="Times New Roman"/>
          <w:i/>
          <w:iCs/>
        </w:rPr>
      </w:pPr>
    </w:p>
    <w:p w14:paraId="5CF58F80" w14:textId="7438F353">
      <w:pPr>
        <w:pStyle w:val="ListParagraph"/>
        <w:ind w:left="1800"/>
        <w:jc w:val="both"/>
        <w:rPr>
          <w:rFonts w:ascii="Times New Roman" w:hAnsi="Times New Roman"/>
          <w:i/>
          <w:iCs/>
        </w:rPr>
      </w:pPr>
      <w:r>
        <w:rPr>
          <w:rFonts w:ascii="Times New Roman" w:hAnsi="Times New Roman"/>
          <w:i/>
          <w:iCs/>
        </w:rPr>
        <w:t>In connection with the Board’s review of the CEO’s employment agreement, the Board must meet this due diligence requirement by reviewing and adopting a comparability study.  The Board must meet the criteria set out by the IRS for conducting this review prior to any of the above changes in employment occurring. This review must occur without the participation of any individuals who possess a conflict of interest. Under the IRS regulations, any employees under the supervision of the CEO are automatically conflicted and must recuse themselves from any participation whatsoever in any aspect of this process.</w:t>
      </w:r>
    </w:p>
    <w:p w14:paraId="47DBB21C" w14:textId="77777777">
      <w:pPr>
        <w:pStyle w:val="ListParagraph"/>
        <w:ind w:left="1800"/>
        <w:jc w:val="both"/>
        <w:rPr>
          <w:rFonts w:ascii="Times New Roman" w:hAnsi="Times New Roman"/>
          <w:i/>
          <w:iCs/>
        </w:rPr>
      </w:pPr>
    </w:p>
    <w:p w14:paraId="538EF8A4" w14:textId="2DD9542B">
      <w:pPr>
        <w:pStyle w:val="ListParagraph"/>
        <w:ind w:left="1800"/>
        <w:jc w:val="both"/>
        <w:rPr>
          <w:rFonts w:ascii="Times New Roman" w:hAnsi="Times New Roman"/>
        </w:rPr>
      </w:pPr>
      <w:r>
        <w:rPr>
          <w:rFonts w:ascii="Times New Roman" w:hAnsi="Times New Roman"/>
          <w:i/>
          <w:iCs/>
        </w:rPr>
        <w:t>Accordingly, SSP has received two (2) compensation studies and the Compensation Committee is meeting today on behalf of the Board for the purpose of reviewing these studies and determining whether to recommend adoption of these studies to the SSP Board.</w:t>
      </w:r>
      <w:r>
        <w:rPr>
          <w:rFonts w:ascii="Times New Roman" w:hAnsi="Times New Roman"/>
        </w:rPr>
        <w:t xml:space="preserve">  </w:t>
      </w:r>
    </w:p>
    <w:p w14:paraId="057EBF48" w14:textId="77777777">
      <w:pPr>
        <w:pStyle w:val="ListParagraph"/>
        <w:ind w:left="1800"/>
        <w:jc w:val="both"/>
        <w:rPr>
          <w:rFonts w:ascii="Times New Roman" w:hAnsi="Times New Roman"/>
        </w:rPr>
      </w:pPr>
    </w:p>
    <w:p w14:paraId="4730D018" w14:textId="75D48E70">
      <w:pPr>
        <w:pStyle w:val="ListParagraph"/>
        <w:ind w:left="1800"/>
        <w:jc w:val="both"/>
        <w:rPr>
          <w:rFonts w:ascii="Times New Roman" w:hAnsi="Times New Roman"/>
          <w:i/>
          <w:iCs/>
        </w:rPr>
      </w:pPr>
      <w:r>
        <w:rPr>
          <w:rFonts w:ascii="Times New Roman" w:hAnsi="Times New Roman"/>
          <w:i/>
          <w:iCs/>
        </w:rPr>
        <w:t>The studies for the CEO prepared by Young, Minney &amp; Corr, LLP and Ryan Compaan were acknowledged and reviewed by the Committee.</w:t>
      </w:r>
    </w:p>
    <w:p w14:paraId="5511585D" w14:textId="77777777">
      <w:pPr>
        <w:pStyle w:val="ListParagraph"/>
        <w:ind w:left="1800"/>
        <w:jc w:val="both"/>
        <w:rPr>
          <w:rFonts w:ascii="Times New Roman" w:hAnsi="Times New Roman"/>
          <w:i/>
          <w:iCs/>
        </w:rPr>
      </w:pPr>
    </w:p>
    <w:p w14:paraId="7EFA43FE" w14:textId="44B2E88A">
      <w:pPr>
        <w:pStyle w:val="ListParagraph"/>
        <w:ind w:left="1080"/>
        <w:jc w:val="both"/>
        <w:rPr>
          <w:rFonts w:ascii="Times New Roman" w:hAnsi="Times New Roman"/>
          <w:i/>
          <w:iCs/>
        </w:rPr>
      </w:pPr>
      <w:r>
        <w:rPr>
          <w:rFonts w:ascii="Times New Roman" w:hAnsi="Times New Roman"/>
          <w:i/>
          <w:iCs/>
        </w:rPr>
        <w:t xml:space="preserve">It was moved by Crean and seconded by Hering, based upon the requirements listed above, and following review of the studies, to approve the studies as identifying reasonable/non-excessive compensation for the CEO; and recommend approval of the studies to the SSP Board.  </w:t>
      </w:r>
    </w:p>
    <w:p w14:paraId="06205935" w14:textId="77777777">
      <w:pPr>
        <w:pStyle w:val="ListParagraph"/>
        <w:autoSpaceDE w:val="0"/>
        <w:autoSpaceDN w:val="0"/>
        <w:spacing w:before="1"/>
        <w:ind w:left="1080"/>
        <w:rPr>
          <w:rFonts w:ascii="Times New Roman" w:hAnsi="Times New Roman"/>
          <w:i/>
          <w:iCs/>
        </w:rPr>
      </w:pPr>
    </w:p>
    <w:p w14:paraId="6A401E83" w14:textId="17572B2F">
      <w:pPr>
        <w:pStyle w:val="ListParagraph"/>
        <w:autoSpaceDE w:val="0"/>
        <w:autoSpaceDN w:val="0"/>
        <w:spacing w:before="1"/>
        <w:ind w:left="1080"/>
        <w:rPr>
          <w:rFonts w:ascii="Times New Roman" w:hAnsi="Times New Roman"/>
          <w:i/>
          <w:iCs/>
        </w:rPr>
      </w:pPr>
      <w:r>
        <w:rPr>
          <w:rFonts w:ascii="Times New Roman" w:hAnsi="Times New Roman"/>
          <w:i/>
          <w:iCs/>
        </w:rPr>
        <w:t>Ayes – 2, Nays- 0, Absent – 0, Abstain – 0, Motioned Approved.</w:t>
      </w:r>
    </w:p>
    <w:p w14:paraId="236DB17F" w14:textId="77777777">
      <w:pPr>
        <w:pStyle w:val="ListParagraph"/>
        <w:ind w:left="1080"/>
        <w:rPr>
          <w:rFonts w:ascii="Times New Roman" w:hAnsi="Times New Roman"/>
        </w:rPr>
      </w:pPr>
    </w:p>
    <w:p w14:paraId="397234D3" w14:textId="3564CE24">
      <w:pPr>
        <w:pStyle w:val="ListParagraph"/>
        <w:numPr>
          <w:ilvl w:val="1"/>
          <w:numId w:val="1"/>
        </w:numPr>
        <w:rPr>
          <w:rFonts w:ascii="Times New Roman" w:hAnsi="Times New Roman"/>
        </w:rPr>
      </w:pPr>
      <w:r>
        <w:rPr>
          <w:rFonts w:ascii="Times New Roman" w:hAnsi="Times New Roman"/>
        </w:rPr>
        <w:t>Review of Comparable Compensation Data for Charter School CBOs/CFOs/Business Managers</w:t>
      </w:r>
    </w:p>
    <w:p w14:paraId="6A79F9A0" w14:textId="759EE033">
      <w:pPr>
        <w:pStyle w:val="ListParagraph"/>
        <w:ind w:left="1080"/>
        <w:jc w:val="both"/>
        <w:rPr>
          <w:rFonts w:ascii="Times New Roman" w:hAnsi="Times New Roman"/>
          <w:i/>
          <w:iCs/>
          <w:sz w:val="24"/>
          <w:szCs w:val="24"/>
        </w:rPr>
      </w:pPr>
      <w:r>
        <w:rPr>
          <w:rFonts w:ascii="Times New Roman" w:hAnsi="Times New Roman"/>
          <w:i/>
          <w:iCs/>
          <w:sz w:val="24"/>
          <w:szCs w:val="24"/>
        </w:rPr>
        <w:t>Hering stated the following:</w:t>
      </w:r>
    </w:p>
    <w:p w14:paraId="1B8BEDC1" w14:textId="77777777">
      <w:pPr>
        <w:pStyle w:val="ListParagraph"/>
        <w:ind w:left="1440"/>
        <w:jc w:val="both"/>
        <w:rPr>
          <w:rFonts w:ascii="Times New Roman" w:hAnsi="Times New Roman"/>
          <w:i/>
          <w:iCs/>
        </w:rPr>
      </w:pPr>
      <w:r>
        <w:rPr>
          <w:rFonts w:ascii="Times New Roman" w:hAnsi="Times New Roman"/>
          <w:i/>
          <w:iCs/>
        </w:rPr>
        <w:lastRenderedPageBreak/>
        <w:t>The same legal standards I outlined earlier which applied to the CEO as far as the Board establishing reasonable compensation also apply to the CBO as an educational executive at SSP.  As a result, SSP has also received two (2) compensation studies regarding the CBO, and the Compensation Committee is meeting today on behalf of the Board for the purpose of reviewing these studies and determining whether to recommend adoption of these studies to the SSP Board.</w:t>
      </w:r>
    </w:p>
    <w:p w14:paraId="571629A0" w14:textId="46D3F7BA">
      <w:pPr>
        <w:pStyle w:val="ListParagraph"/>
        <w:ind w:left="1440"/>
        <w:jc w:val="both"/>
        <w:rPr>
          <w:rFonts w:ascii="Times New Roman" w:hAnsi="Times New Roman"/>
        </w:rPr>
      </w:pPr>
      <w:r>
        <w:rPr>
          <w:rFonts w:ascii="Times New Roman" w:hAnsi="Times New Roman"/>
        </w:rPr>
        <w:t xml:space="preserve">  </w:t>
      </w:r>
    </w:p>
    <w:p w14:paraId="3C192DBC" w14:textId="766DC9F4">
      <w:pPr>
        <w:pStyle w:val="ListParagraph"/>
        <w:ind w:left="1440"/>
        <w:jc w:val="both"/>
        <w:rPr>
          <w:rFonts w:ascii="Times New Roman" w:hAnsi="Times New Roman"/>
          <w:i/>
          <w:iCs/>
        </w:rPr>
      </w:pPr>
      <w:r>
        <w:rPr>
          <w:rFonts w:ascii="Times New Roman" w:hAnsi="Times New Roman"/>
          <w:i/>
          <w:iCs/>
        </w:rPr>
        <w:t>The studies for the CBO prepared by Young, Minney &amp; Corr, LLP and Ryan Compaan were acknowledged and reviewed by the Committee.</w:t>
      </w:r>
    </w:p>
    <w:p w14:paraId="4CD37D2D" w14:textId="77777777">
      <w:pPr>
        <w:pStyle w:val="ListParagraph"/>
        <w:ind w:left="1440"/>
        <w:jc w:val="both"/>
        <w:rPr>
          <w:rFonts w:ascii="Times New Roman" w:hAnsi="Times New Roman"/>
          <w:b/>
          <w:bCs/>
        </w:rPr>
      </w:pPr>
    </w:p>
    <w:p w14:paraId="4538EEC1" w14:textId="661522B8">
      <w:pPr>
        <w:pStyle w:val="ListParagraph"/>
        <w:autoSpaceDE w:val="0"/>
        <w:autoSpaceDN w:val="0"/>
        <w:spacing w:before="1"/>
        <w:ind w:left="1440"/>
        <w:jc w:val="both"/>
        <w:rPr>
          <w:rFonts w:ascii="Times New Roman" w:hAnsi="Times New Roman"/>
        </w:rPr>
      </w:pPr>
      <w:r>
        <w:rPr>
          <w:rFonts w:ascii="Times New Roman" w:hAnsi="Times New Roman"/>
          <w:i/>
          <w:iCs/>
        </w:rPr>
        <w:t>Based upon the above requirements, and following review of the studies, it is my recommendation that the Committee 1) approve the studies as identifying reasonable/non-excessive compensation for the CBO; and 2) recommend approval of the studies to the SSP Board</w:t>
      </w:r>
      <w:r>
        <w:rPr>
          <w:rFonts w:ascii="Times New Roman" w:hAnsi="Times New Roman"/>
        </w:rPr>
        <w:t>.</w:t>
      </w:r>
    </w:p>
    <w:p w14:paraId="53E1DB96" w14:textId="77777777">
      <w:pPr>
        <w:pStyle w:val="ListParagraph"/>
        <w:autoSpaceDE w:val="0"/>
        <w:autoSpaceDN w:val="0"/>
        <w:spacing w:before="1"/>
        <w:ind w:left="1440"/>
        <w:jc w:val="both"/>
        <w:rPr>
          <w:rFonts w:ascii="Times New Roman" w:hAnsi="Times New Roman"/>
        </w:rPr>
      </w:pPr>
    </w:p>
    <w:p w14:paraId="6FF32826" w14:textId="6DEE8F26">
      <w:pPr>
        <w:pStyle w:val="ListParagraph"/>
        <w:autoSpaceDE w:val="0"/>
        <w:autoSpaceDN w:val="0"/>
        <w:spacing w:before="1"/>
        <w:ind w:left="1080"/>
        <w:jc w:val="both"/>
        <w:rPr>
          <w:rFonts w:ascii="Times New Roman" w:hAnsi="Times New Roman"/>
          <w:i/>
          <w:iCs/>
        </w:rPr>
      </w:pPr>
      <w:r>
        <w:rPr>
          <w:rFonts w:ascii="Times New Roman" w:hAnsi="Times New Roman"/>
          <w:i/>
          <w:iCs/>
        </w:rPr>
        <w:t xml:space="preserve">It was moved by Crean and seconded by Hering, as based upon the requirements, and following review of the studies, to approve the studies as identifying reasonable/non-excessive compensation for the CBO; and recommend approval of the studies to the SSP Board.  </w:t>
      </w:r>
    </w:p>
    <w:p w14:paraId="48AA1C25" w14:textId="77777777">
      <w:pPr>
        <w:pStyle w:val="ListParagraph"/>
        <w:autoSpaceDE w:val="0"/>
        <w:autoSpaceDN w:val="0"/>
        <w:spacing w:before="1"/>
        <w:ind w:left="1080"/>
        <w:rPr>
          <w:rFonts w:ascii="Times New Roman" w:hAnsi="Times New Roman"/>
          <w:i/>
          <w:iCs/>
        </w:rPr>
      </w:pPr>
    </w:p>
    <w:p w14:paraId="5E58312A" w14:textId="394C8C2B">
      <w:pPr>
        <w:pStyle w:val="ListParagraph"/>
        <w:autoSpaceDE w:val="0"/>
        <w:autoSpaceDN w:val="0"/>
        <w:spacing w:before="1"/>
        <w:ind w:left="1080"/>
        <w:rPr>
          <w:rFonts w:ascii="Times New Roman" w:hAnsi="Times New Roman"/>
          <w:i/>
          <w:iCs/>
        </w:rPr>
      </w:pPr>
      <w:r>
        <w:rPr>
          <w:rFonts w:ascii="Times New Roman" w:hAnsi="Times New Roman"/>
          <w:i/>
          <w:iCs/>
        </w:rPr>
        <w:t>Ayes – 2, Nays- 0, Absent – 0, Abstain – 0, Motioned Approved.</w:t>
      </w:r>
    </w:p>
    <w:p w14:paraId="6B04439C" w14:textId="77777777">
      <w:pPr>
        <w:pStyle w:val="ListParagraph"/>
        <w:ind w:left="360"/>
        <w:rPr>
          <w:rFonts w:ascii="Times New Roman" w:hAnsi="Times New Roman"/>
        </w:rPr>
      </w:pPr>
    </w:p>
    <w:p w14:paraId="7CBFDF07" w14:textId="4FB0CE84">
      <w:pPr>
        <w:pStyle w:val="ListParagraph"/>
        <w:numPr>
          <w:ilvl w:val="0"/>
          <w:numId w:val="1"/>
        </w:numPr>
        <w:rPr>
          <w:rFonts w:ascii="Times New Roman" w:hAnsi="Times New Roman"/>
          <w:b/>
          <w:bCs/>
        </w:rPr>
      </w:pPr>
      <w:r>
        <w:rPr>
          <w:rFonts w:ascii="Times New Roman" w:hAnsi="Times New Roman"/>
          <w:b/>
          <w:bCs/>
        </w:rPr>
        <w:t>ADJOURNMENT</w:t>
      </w:r>
    </w:p>
    <w:p w14:paraId="1A1E350F" w14:textId="7B6749A8">
      <w:pPr>
        <w:pStyle w:val="ListParagraph"/>
        <w:ind w:left="360" w:right="-360"/>
        <w:rPr>
          <w:rFonts w:ascii="Times New Roman" w:hAnsi="Times New Roman"/>
          <w:i/>
          <w:iCs/>
        </w:rPr>
      </w:pPr>
      <w:r>
        <w:rPr>
          <w:rFonts w:ascii="Times New Roman" w:hAnsi="Times New Roman"/>
          <w:i/>
          <w:iCs/>
        </w:rPr>
        <w:t>It was moved by Crean and seconded by Hering to Adjourn the Meeting at 2:20 p.m.</w:t>
      </w:r>
    </w:p>
    <w:p w14:paraId="13E63B6C" w14:textId="38D4388D">
      <w:pPr>
        <w:pStyle w:val="ListParagraph"/>
        <w:ind w:left="360" w:right="-810"/>
        <w:rPr>
          <w:rFonts w:ascii="Times New Roman" w:hAnsi="Times New Roman"/>
          <w:i/>
          <w:iCs/>
        </w:rPr>
      </w:pPr>
      <w:r>
        <w:rPr>
          <w:rFonts w:ascii="Times New Roman" w:hAnsi="Times New Roman"/>
          <w:i/>
          <w:iCs/>
        </w:rPr>
        <w:t>Ayes – 2, Nays- 0, Absent – 0, Abstain – 0, Motioned Approved.</w:t>
      </w:r>
    </w:p>
    <w:p w14:paraId="4CEF79BD" w14:textId="77777777">
      <w:pPr>
        <w:pStyle w:val="ListParagraph"/>
        <w:ind w:left="360"/>
        <w:rPr>
          <w:rFonts w:ascii="Times New Roman" w:hAnsi="Times New Roman"/>
          <w:b/>
          <w:bCs/>
        </w:rPr>
      </w:pPr>
    </w:p>
    <w:p w14:paraId="1E0A141B" w14:textId="6D74EDEC">
      <w:pPr>
        <w:spacing w:after="0"/>
        <w:ind w:left="90" w:right="-270"/>
        <w:rPr>
          <w:rFonts w:ascii="Times New Roman" w:hAnsi="Times New Roman"/>
          <w:b/>
          <w:sz w:val="20"/>
          <w:szCs w:val="20"/>
        </w:rPr>
      </w:pPr>
    </w:p>
    <w:p w14:paraId="2DBFA6DB" w14:textId="2B882AA5">
      <w:pPr>
        <w:spacing w:after="0" w:line="180" w:lineRule="exact"/>
        <w:ind w:left="90" w:right="-270"/>
        <w:rPr>
          <w:rFonts w:ascii="Times New Roman" w:hAnsi="Times New Roman"/>
          <w:b/>
          <w:sz w:val="20"/>
          <w:szCs w:val="20"/>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Pr>
          <w:rFonts w:ascii="Arial" w:hAnsi="Arial" w:cs="Arial"/>
          <w:sz w:val="16"/>
        </w:rPr>
        <w:t>4863-9884-4991, v. 2</w:t>
      </w:r>
      <w:r>
        <w:rPr>
          <w:rFonts w:ascii="Arial" w:hAnsi="Arial" w:cs="Arial"/>
          <w:sz w:val="16"/>
        </w:rPr>
        <w:fldChar w:fldCharType="end"/>
      </w:r>
    </w:p>
    <w:sectPr>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5507D" w14:textId="77777777">
      <w:pPr>
        <w:spacing w:after="0" w:line="240" w:lineRule="auto"/>
      </w:pPr>
      <w:r>
        <w:separator/>
      </w:r>
    </w:p>
  </w:endnote>
  <w:endnote w:type="continuationSeparator" w:id="0">
    <w:p w14:paraId="26FB1FB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D956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EE35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EFE6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141A6" w14:textId="77777777">
      <w:pPr>
        <w:spacing w:after="0" w:line="240" w:lineRule="auto"/>
      </w:pPr>
      <w:r>
        <w:separator/>
      </w:r>
    </w:p>
  </w:footnote>
  <w:footnote w:type="continuationSeparator" w:id="0">
    <w:p w14:paraId="4052A7C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17B0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2CFF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46F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3EA3"/>
    <w:multiLevelType w:val="multilevel"/>
    <w:tmpl w:val="8006F31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18A64660"/>
    <w:multiLevelType w:val="multilevel"/>
    <w:tmpl w:val="47ACFF4A"/>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47ED17B1"/>
    <w:multiLevelType w:val="multilevel"/>
    <w:tmpl w:val="7BA00E46"/>
    <w:lvl w:ilvl="0">
      <w:start w:val="1"/>
      <w:numFmt w:val="decimal"/>
      <w:lvlText w:val="%1.0"/>
      <w:lvlJc w:val="left"/>
      <w:pPr>
        <w:ind w:left="1620" w:hanging="360"/>
      </w:pPr>
    </w:lvl>
    <w:lvl w:ilvl="1">
      <w:start w:val="1"/>
      <w:numFmt w:val="decimal"/>
      <w:lvlText w:val="%1.%2"/>
      <w:lvlJc w:val="left"/>
      <w:pPr>
        <w:ind w:left="1980" w:hanging="360"/>
      </w:pPr>
      <w:rPr>
        <w:color w:val="auto"/>
      </w:rPr>
    </w:lvl>
    <w:lvl w:ilvl="2">
      <w:start w:val="1"/>
      <w:numFmt w:val="decimal"/>
      <w:lvlText w:val="%1.%2.%3"/>
      <w:lvlJc w:val="left"/>
      <w:pPr>
        <w:ind w:left="3240" w:hanging="720"/>
      </w:pPr>
    </w:lvl>
    <w:lvl w:ilvl="3">
      <w:start w:val="1"/>
      <w:numFmt w:val="decimal"/>
      <w:lvlText w:val="%1.%2.%3.%4"/>
      <w:lvlJc w:val="left"/>
      <w:pPr>
        <w:ind w:left="3712" w:hanging="720"/>
      </w:pPr>
    </w:lvl>
    <w:lvl w:ilvl="4">
      <w:start w:val="1"/>
      <w:numFmt w:val="decimal"/>
      <w:lvlText w:val="%1.%2.%3.%4.%5"/>
      <w:lvlJc w:val="left"/>
      <w:pPr>
        <w:ind w:left="4792" w:hanging="1080"/>
      </w:pPr>
    </w:lvl>
    <w:lvl w:ilvl="5">
      <w:start w:val="1"/>
      <w:numFmt w:val="decimal"/>
      <w:lvlText w:val="%1.%2.%3.%4.%5.%6"/>
      <w:lvlJc w:val="left"/>
      <w:pPr>
        <w:ind w:left="5512" w:hanging="1080"/>
      </w:pPr>
    </w:lvl>
    <w:lvl w:ilvl="6">
      <w:start w:val="1"/>
      <w:numFmt w:val="decimal"/>
      <w:lvlText w:val="%1.%2.%3.%4.%5.%6.%7"/>
      <w:lvlJc w:val="left"/>
      <w:pPr>
        <w:ind w:left="6592" w:hanging="1440"/>
      </w:pPr>
    </w:lvl>
    <w:lvl w:ilvl="7">
      <w:start w:val="1"/>
      <w:numFmt w:val="decimal"/>
      <w:lvlText w:val="%1.%2.%3.%4.%5.%6.%7.%8"/>
      <w:lvlJc w:val="left"/>
      <w:pPr>
        <w:ind w:left="7312" w:hanging="1440"/>
      </w:pPr>
    </w:lvl>
    <w:lvl w:ilvl="8">
      <w:start w:val="1"/>
      <w:numFmt w:val="decimal"/>
      <w:lvlText w:val="%1.%2.%3.%4.%5.%6.%7.%8.%9"/>
      <w:lvlJc w:val="left"/>
      <w:pPr>
        <w:ind w:left="8032" w:hanging="1440"/>
      </w:pPr>
    </w:lvl>
  </w:abstractNum>
  <w:abstractNum w:abstractNumId="3" w15:restartNumberingAfterBreak="0">
    <w:nsid w:val="59A5520A"/>
    <w:multiLevelType w:val="multilevel"/>
    <w:tmpl w:val="A82C17CA"/>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4" w15:restartNumberingAfterBreak="0">
    <w:nsid w:val="6E447A22"/>
    <w:multiLevelType w:val="multilevel"/>
    <w:tmpl w:val="791487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1EA7447"/>
    <w:multiLevelType w:val="multilevel"/>
    <w:tmpl w:val="181C4A1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35085143">
    <w:abstractNumId w:val="5"/>
  </w:num>
  <w:num w:numId="2" w16cid:durableId="13661031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991537">
    <w:abstractNumId w:val="0"/>
  </w:num>
  <w:num w:numId="4" w16cid:durableId="1011493535">
    <w:abstractNumId w:val="3"/>
  </w:num>
  <w:num w:numId="5" w16cid:durableId="20809047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935196">
    <w:abstractNumId w:val="1"/>
  </w:num>
  <w:num w:numId="7" w16cid:durableId="1105129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213378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QxMLEwNzcyszA2NzBS0lEKTi0uzszPAykwrAUA0DdGDCwAAAA="/>
    <w:docVar w:name="dgnword-docGUID" w:val="{9CE7823B-D2C7-48FF-AE18-8E40B104B346}"/>
    <w:docVar w:name="dgnword-eventsink" w:val="1153840200"/>
    <w:docVar w:name="ndGeneratedStamp" w:val="4863-9884-4991, v. 2"/>
    <w:docVar w:name="ndGeneratedStampLocation" w:val="LastPage"/>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58D3E3-6F44-4B4F-B2DC-1C57EE34D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Times New Roman"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pPr>
      <w:spacing w:after="0" w:line="240" w:lineRule="auto"/>
    </w:pPr>
    <w:rPr>
      <w:rFonts w:ascii="Cambria" w:hAnsi="Cambria"/>
      <w:color w:val="000000"/>
      <w:sz w:val="24"/>
      <w:szCs w:val="21"/>
    </w:rPr>
  </w:style>
  <w:style w:type="character" w:customStyle="1" w:styleId="PlainTextChar">
    <w:name w:val="Plain Text Char"/>
    <w:basedOn w:val="DefaultParagraphFont"/>
    <w:link w:val="PlainText"/>
    <w:uiPriority w:val="99"/>
    <w:semiHidden/>
    <w:rPr>
      <w:rFonts w:ascii="Cambria" w:eastAsia="Times New Roman" w:hAnsi="Cambria" w:cs="Times New Roman"/>
      <w:color w:val="000000"/>
      <w:sz w:val="24"/>
      <w:szCs w:val="21"/>
    </w:rPr>
  </w:style>
  <w:style w:type="character" w:styleId="IntenseReference">
    <w:name w:val="Intense Reference"/>
    <w:uiPriority w:val="32"/>
    <w:qFormat/>
    <w:rPr>
      <w:b/>
      <w:bCs/>
      <w:smallCaps/>
      <w:color w:val="C0504D"/>
      <w:spacing w:val="5"/>
      <w:u w:val="single"/>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rPr>
      <w:rFonts w:ascii="Calibri" w:eastAsia="Times New Roman" w:hAnsi="Calibri" w:cs="Times New Roma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Times New Roman" w:hAnsi="Calibri" w:cs="Times New Roman"/>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50072">
      <w:bodyDiv w:val="1"/>
      <w:marLeft w:val="0"/>
      <w:marRight w:val="0"/>
      <w:marTop w:val="0"/>
      <w:marBottom w:val="0"/>
      <w:divBdr>
        <w:top w:val="none" w:sz="0" w:space="0" w:color="auto"/>
        <w:left w:val="none" w:sz="0" w:space="0" w:color="auto"/>
        <w:bottom w:val="none" w:sz="0" w:space="0" w:color="auto"/>
        <w:right w:val="none" w:sz="0" w:space="0" w:color="auto"/>
      </w:divBdr>
    </w:div>
    <w:div w:id="729108509">
      <w:bodyDiv w:val="1"/>
      <w:marLeft w:val="0"/>
      <w:marRight w:val="0"/>
      <w:marTop w:val="0"/>
      <w:marBottom w:val="0"/>
      <w:divBdr>
        <w:top w:val="none" w:sz="0" w:space="0" w:color="auto"/>
        <w:left w:val="none" w:sz="0" w:space="0" w:color="auto"/>
        <w:bottom w:val="none" w:sz="0" w:space="0" w:color="auto"/>
        <w:right w:val="none" w:sz="0" w:space="0" w:color="auto"/>
      </w:divBdr>
    </w:div>
    <w:div w:id="787774258">
      <w:bodyDiv w:val="1"/>
      <w:marLeft w:val="0"/>
      <w:marRight w:val="0"/>
      <w:marTop w:val="0"/>
      <w:marBottom w:val="0"/>
      <w:divBdr>
        <w:top w:val="none" w:sz="0" w:space="0" w:color="auto"/>
        <w:left w:val="none" w:sz="0" w:space="0" w:color="auto"/>
        <w:bottom w:val="none" w:sz="0" w:space="0" w:color="auto"/>
        <w:right w:val="none" w:sz="0" w:space="0" w:color="auto"/>
      </w:divBdr>
    </w:div>
    <w:div w:id="1253078189">
      <w:bodyDiv w:val="1"/>
      <w:marLeft w:val="0"/>
      <w:marRight w:val="0"/>
      <w:marTop w:val="0"/>
      <w:marBottom w:val="0"/>
      <w:divBdr>
        <w:top w:val="none" w:sz="0" w:space="0" w:color="auto"/>
        <w:left w:val="none" w:sz="0" w:space="0" w:color="auto"/>
        <w:bottom w:val="none" w:sz="0" w:space="0" w:color="auto"/>
        <w:right w:val="none" w:sz="0" w:space="0" w:color="auto"/>
      </w:divBdr>
    </w:div>
    <w:div w:id="1386104475">
      <w:bodyDiv w:val="1"/>
      <w:marLeft w:val="0"/>
      <w:marRight w:val="0"/>
      <w:marTop w:val="0"/>
      <w:marBottom w:val="0"/>
      <w:divBdr>
        <w:top w:val="none" w:sz="0" w:space="0" w:color="auto"/>
        <w:left w:val="none" w:sz="0" w:space="0" w:color="auto"/>
        <w:bottom w:val="none" w:sz="0" w:space="0" w:color="auto"/>
        <w:right w:val="none" w:sz="0" w:space="0" w:color="auto"/>
      </w:divBdr>
    </w:div>
    <w:div w:id="1650283311">
      <w:bodyDiv w:val="1"/>
      <w:marLeft w:val="0"/>
      <w:marRight w:val="0"/>
      <w:marTop w:val="0"/>
      <w:marBottom w:val="0"/>
      <w:divBdr>
        <w:top w:val="none" w:sz="0" w:space="0" w:color="auto"/>
        <w:left w:val="none" w:sz="0" w:space="0" w:color="auto"/>
        <w:bottom w:val="none" w:sz="0" w:space="0" w:color="auto"/>
        <w:right w:val="none" w:sz="0" w:space="0" w:color="auto"/>
      </w:divBdr>
    </w:div>
    <w:div w:id="202771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deocharterschool.net/board-of-director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charterschool-sandiego.net/board-governanc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793</Words>
  <Characters>4536</Characters>
  <Application>Microsoft Office Word</Application>
  <DocSecurity>0</DocSecurity>
  <Lines>110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dc:creator>
  <cp:keywords/>
  <dc:description/>
  <cp:lastModifiedBy>Paul C. Minney</cp:lastModifiedBy>
  <cp:revision>7</cp:revision>
  <cp:lastPrinted>2022-08-23T20:41:00Z</cp:lastPrinted>
  <dcterms:created xsi:type="dcterms:W3CDTF">2023-02-20T22:17:00Z</dcterms:created>
  <dcterms:modified xsi:type="dcterms:W3CDTF">2023-02-20T22:34:00Z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4863-9884-4991</vt:lpwstr>
  </property>
  <property fmtid="{D5CDD505-2E9C-101B-9397-08002B2CF9AE}" pid="3" name="GrammarlyDocumentId">
    <vt:lpwstr>af0df6dcad901d6a45b89c5d6a67bb516c4122844eab2af853fff9b7409c10d8</vt:lpwstr>
  </property>
</Properties>
</file>