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39F2A" w14:textId="77777777" w:rsidR="00E3771A" w:rsidRPr="003E0527" w:rsidRDefault="00E3771A">
      <w:pPr>
        <w:widowControl/>
        <w:jc w:val="center"/>
        <w:rPr>
          <w:b/>
          <w:spacing w:val="-3"/>
        </w:rPr>
      </w:pPr>
      <w:r w:rsidRPr="003E0527">
        <w:rPr>
          <w:b/>
          <w:spacing w:val="-3"/>
        </w:rPr>
        <w:t xml:space="preserve">SECTION </w:t>
      </w:r>
      <w:r w:rsidR="005B5684" w:rsidRPr="003E0527">
        <w:rPr>
          <w:b/>
          <w:spacing w:val="-3"/>
        </w:rPr>
        <w:t>32 12 16</w:t>
      </w:r>
    </w:p>
    <w:p w14:paraId="777E0252" w14:textId="77777777" w:rsidR="00E3771A" w:rsidRPr="003E0527" w:rsidRDefault="00301875">
      <w:pPr>
        <w:widowControl/>
        <w:jc w:val="center"/>
        <w:rPr>
          <w:b/>
          <w:spacing w:val="-3"/>
        </w:rPr>
      </w:pPr>
      <w:bookmarkStart w:id="0" w:name="_GoBack"/>
      <w:r w:rsidRPr="003E0527">
        <w:rPr>
          <w:b/>
          <w:spacing w:val="-3"/>
        </w:rPr>
        <w:t>AS</w:t>
      </w:r>
      <w:r w:rsidR="005B5684" w:rsidRPr="003E0527">
        <w:rPr>
          <w:b/>
          <w:spacing w:val="-3"/>
        </w:rPr>
        <w:t xml:space="preserve">PHALT </w:t>
      </w:r>
      <w:r w:rsidR="00E3771A" w:rsidRPr="003E0527">
        <w:rPr>
          <w:b/>
          <w:spacing w:val="-3"/>
        </w:rPr>
        <w:t>PAVING</w:t>
      </w:r>
    </w:p>
    <w:bookmarkEnd w:id="0"/>
    <w:p w14:paraId="382BEB91" w14:textId="77777777" w:rsidR="00E3771A" w:rsidRDefault="00E3771A">
      <w:pPr>
        <w:widowControl/>
        <w:rPr>
          <w:spacing w:val="-3"/>
        </w:rPr>
      </w:pPr>
    </w:p>
    <w:p w14:paraId="07F8E32F" w14:textId="77777777" w:rsidR="00E3771A" w:rsidRPr="003E0527" w:rsidRDefault="00E3771A">
      <w:pPr>
        <w:widowControl/>
        <w:tabs>
          <w:tab w:val="left" w:pos="900"/>
        </w:tabs>
        <w:ind w:left="720" w:hanging="720"/>
        <w:rPr>
          <w:b/>
          <w:spacing w:val="-3"/>
        </w:rPr>
      </w:pPr>
      <w:r w:rsidRPr="003E0527">
        <w:rPr>
          <w:b/>
          <w:spacing w:val="-3"/>
        </w:rPr>
        <w:t>PART 1</w:t>
      </w:r>
      <w:r w:rsidRPr="003E0527">
        <w:rPr>
          <w:b/>
          <w:spacing w:val="-3"/>
        </w:rPr>
        <w:tab/>
      </w:r>
      <w:r w:rsidR="006F3AA5" w:rsidRPr="003E0527">
        <w:rPr>
          <w:b/>
          <w:spacing w:val="-3"/>
        </w:rPr>
        <w:tab/>
      </w:r>
      <w:r w:rsidRPr="003E0527">
        <w:rPr>
          <w:b/>
          <w:spacing w:val="-3"/>
        </w:rPr>
        <w:t>GENERAL</w:t>
      </w:r>
    </w:p>
    <w:p w14:paraId="72303CD1" w14:textId="77777777" w:rsidR="00E3771A" w:rsidRDefault="00E3771A">
      <w:pPr>
        <w:widowControl/>
        <w:numPr>
          <w:ilvl w:val="0"/>
          <w:numId w:val="11"/>
        </w:numPr>
        <w:rPr>
          <w:spacing w:val="-3"/>
        </w:rPr>
      </w:pPr>
      <w:r>
        <w:rPr>
          <w:spacing w:val="-3"/>
        </w:rPr>
        <w:t>SECTION INCLUDES</w:t>
      </w:r>
    </w:p>
    <w:p w14:paraId="3F9A075A" w14:textId="77777777" w:rsidR="00E3771A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>The intent of this specification section is to provide requirements for materials, equipment, and methods for constructing new pavemen</w:t>
      </w:r>
      <w:r w:rsidR="005A7E1A">
        <w:rPr>
          <w:spacing w:val="-3"/>
        </w:rPr>
        <w:t>t.</w:t>
      </w:r>
    </w:p>
    <w:p w14:paraId="1318D10E" w14:textId="77777777" w:rsidR="002F180D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>Paving work includes</w:t>
      </w:r>
      <w:r w:rsidR="005A7E1A">
        <w:rPr>
          <w:spacing w:val="-3"/>
        </w:rPr>
        <w:t>:</w:t>
      </w:r>
    </w:p>
    <w:p w14:paraId="3A18B2E5" w14:textId="77777777" w:rsidR="002F180D" w:rsidRDefault="002F180D" w:rsidP="002F180D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P</w:t>
      </w:r>
      <w:r w:rsidR="00E3771A">
        <w:rPr>
          <w:spacing w:val="-3"/>
        </w:rPr>
        <w:t>reparation and compaction of soil</w:t>
      </w:r>
      <w:r w:rsidR="007D1F40">
        <w:rPr>
          <w:spacing w:val="-3"/>
        </w:rPr>
        <w:t xml:space="preserve"> </w:t>
      </w:r>
      <w:r w:rsidR="00E3771A">
        <w:rPr>
          <w:spacing w:val="-3"/>
        </w:rPr>
        <w:t>sub</w:t>
      </w:r>
      <w:r w:rsidR="007D1F40">
        <w:rPr>
          <w:spacing w:val="-3"/>
        </w:rPr>
        <w:t>-</w:t>
      </w:r>
      <w:r w:rsidR="00E3771A">
        <w:rPr>
          <w:spacing w:val="-3"/>
        </w:rPr>
        <w:t xml:space="preserve">grade to proper elevations below </w:t>
      </w:r>
      <w:r w:rsidR="007D1F40">
        <w:rPr>
          <w:spacing w:val="-3"/>
        </w:rPr>
        <w:t>the lime rock</w:t>
      </w:r>
      <w:r w:rsidR="005A7E1A">
        <w:rPr>
          <w:spacing w:val="-3"/>
        </w:rPr>
        <w:t xml:space="preserve"> base.</w:t>
      </w:r>
    </w:p>
    <w:p w14:paraId="6093C67E" w14:textId="77777777" w:rsidR="008A11F7" w:rsidRDefault="002F180D" w:rsidP="002F180D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P</w:t>
      </w:r>
      <w:r w:rsidR="00E3771A">
        <w:rPr>
          <w:spacing w:val="-3"/>
        </w:rPr>
        <w:t>reparation and compaction of lime</w:t>
      </w:r>
      <w:r w:rsidR="007D1F40">
        <w:rPr>
          <w:spacing w:val="-3"/>
        </w:rPr>
        <w:t xml:space="preserve"> </w:t>
      </w:r>
      <w:r w:rsidR="00E3771A">
        <w:rPr>
          <w:spacing w:val="-3"/>
        </w:rPr>
        <w:t>rock</w:t>
      </w:r>
      <w:r w:rsidR="005A7E1A">
        <w:rPr>
          <w:spacing w:val="-3"/>
        </w:rPr>
        <w:t xml:space="preserve"> base</w:t>
      </w:r>
      <w:r w:rsidR="00E3771A">
        <w:rPr>
          <w:spacing w:val="-3"/>
        </w:rPr>
        <w:t>, application of prime coat</w:t>
      </w:r>
      <w:r w:rsidR="005A7E1A">
        <w:rPr>
          <w:spacing w:val="-3"/>
        </w:rPr>
        <w:t xml:space="preserve"> or tack coat</w:t>
      </w:r>
      <w:r w:rsidR="00E3771A">
        <w:rPr>
          <w:spacing w:val="-3"/>
        </w:rPr>
        <w:t>, and construction of asphaltic concrete surface course.</w:t>
      </w:r>
    </w:p>
    <w:p w14:paraId="2032BEAB" w14:textId="77777777" w:rsidR="00E3771A" w:rsidRDefault="00E3771A" w:rsidP="008A11F7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New asphalt paving and patching work where indicated, is also included.</w:t>
      </w:r>
    </w:p>
    <w:p w14:paraId="55C9795E" w14:textId="77777777" w:rsidR="00E3771A" w:rsidRPr="00AF02A7" w:rsidRDefault="00E3771A">
      <w:pPr>
        <w:widowControl/>
        <w:numPr>
          <w:ilvl w:val="1"/>
          <w:numId w:val="11"/>
        </w:numPr>
        <w:rPr>
          <w:spacing w:val="-3"/>
        </w:rPr>
      </w:pPr>
      <w:r w:rsidRPr="00AF02A7">
        <w:rPr>
          <w:spacing w:val="-3"/>
        </w:rPr>
        <w:t>Additional compensation for adjustment of quantities due to extra thickness of base construction and/or extra asphaltic concrete will not be made.</w:t>
      </w:r>
    </w:p>
    <w:p w14:paraId="2D41DD6C" w14:textId="77777777" w:rsidR="00E3771A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>Contractor shall coordinate scheduling of construction of planters, landscape areas, paving, irrigation systems, lighting systems and other work.</w:t>
      </w:r>
    </w:p>
    <w:p w14:paraId="52D83CA5" w14:textId="77777777" w:rsidR="00E3771A" w:rsidRDefault="00E3771A">
      <w:pPr>
        <w:widowControl/>
        <w:numPr>
          <w:ilvl w:val="0"/>
          <w:numId w:val="11"/>
        </w:numPr>
        <w:rPr>
          <w:spacing w:val="-3"/>
        </w:rPr>
      </w:pPr>
      <w:r>
        <w:rPr>
          <w:spacing w:val="-3"/>
        </w:rPr>
        <w:t>SUBGRADE DEFINITION</w:t>
      </w:r>
    </w:p>
    <w:p w14:paraId="4C9B5990" w14:textId="77777777" w:rsidR="00E3771A" w:rsidRPr="00A5693C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 xml:space="preserve">That portion of roadbed immediately below </w:t>
      </w:r>
      <w:proofErr w:type="spellStart"/>
      <w:r>
        <w:rPr>
          <w:spacing w:val="-3"/>
        </w:rPr>
        <w:t>limerock</w:t>
      </w:r>
      <w:proofErr w:type="spellEnd"/>
      <w:r>
        <w:rPr>
          <w:spacing w:val="-3"/>
        </w:rPr>
        <w:t xml:space="preserve"> base course and </w:t>
      </w:r>
      <w:r w:rsidRPr="00A5693C">
        <w:rPr>
          <w:spacing w:val="-3"/>
        </w:rPr>
        <w:t>parallel thereto (including below curbs, gutters, driveways and planters within general parking lot perimeter) compacted</w:t>
      </w:r>
      <w:r w:rsidR="00697CB6" w:rsidRPr="00A5693C">
        <w:rPr>
          <w:spacing w:val="-3"/>
        </w:rPr>
        <w:t xml:space="preserve"> (or stabilized)</w:t>
      </w:r>
      <w:r w:rsidRPr="00A5693C">
        <w:rPr>
          <w:spacing w:val="-3"/>
        </w:rPr>
        <w:t xml:space="preserve"> to required density to support the paving above.</w:t>
      </w:r>
    </w:p>
    <w:p w14:paraId="7EC7B80F" w14:textId="77777777" w:rsidR="00145F92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 xml:space="preserve">Subgrade shall extend to a depth of 12" below bottom of </w:t>
      </w:r>
      <w:proofErr w:type="spellStart"/>
      <w:r>
        <w:rPr>
          <w:spacing w:val="-3"/>
        </w:rPr>
        <w:t>limerock</w:t>
      </w:r>
      <w:proofErr w:type="spellEnd"/>
      <w:r>
        <w:rPr>
          <w:spacing w:val="-3"/>
        </w:rPr>
        <w:t xml:space="preserve"> base and outward to line 12" beyond perimeter of base, </w:t>
      </w:r>
      <w:r w:rsidR="007D1F40">
        <w:rPr>
          <w:spacing w:val="-3"/>
        </w:rPr>
        <w:t>pavement,</w:t>
      </w:r>
      <w:r>
        <w:rPr>
          <w:spacing w:val="-3"/>
        </w:rPr>
        <w:t xml:space="preserve"> or curbs.</w:t>
      </w:r>
    </w:p>
    <w:p w14:paraId="4EED13FB" w14:textId="77777777" w:rsidR="00E3771A" w:rsidRDefault="00145F92" w:rsidP="00145F92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L</w:t>
      </w:r>
      <w:r w:rsidR="00E3771A">
        <w:rPr>
          <w:spacing w:val="-3"/>
        </w:rPr>
        <w:t>imits shown on plans govern, if different from above requirements.</w:t>
      </w:r>
    </w:p>
    <w:p w14:paraId="782459D3" w14:textId="77777777" w:rsidR="00E3771A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>Contractor may construct subgrade deeper for his own convenience and/or equipment needs with prior approval of Engineer and no additional cost to owner.</w:t>
      </w:r>
    </w:p>
    <w:p w14:paraId="2596E519" w14:textId="77777777" w:rsidR="00E3771A" w:rsidRDefault="00E3771A">
      <w:pPr>
        <w:widowControl/>
        <w:numPr>
          <w:ilvl w:val="0"/>
          <w:numId w:val="11"/>
        </w:numPr>
        <w:rPr>
          <w:spacing w:val="-3"/>
        </w:rPr>
      </w:pPr>
      <w:r>
        <w:rPr>
          <w:spacing w:val="-3"/>
        </w:rPr>
        <w:t>APPLICABLE PUBLICATIONS</w:t>
      </w:r>
    </w:p>
    <w:p w14:paraId="28DFA3DC" w14:textId="77777777" w:rsidR="00E3771A" w:rsidRDefault="0067783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 xml:space="preserve">AASHTO </w:t>
      </w:r>
      <w:r w:rsidR="00E3771A">
        <w:rPr>
          <w:spacing w:val="-3"/>
        </w:rPr>
        <w:t xml:space="preserve">T180 – </w:t>
      </w:r>
      <w:r w:rsidR="002C0E95">
        <w:rPr>
          <w:spacing w:val="-3"/>
        </w:rPr>
        <w:t xml:space="preserve">Standard Method of Test for </w:t>
      </w:r>
      <w:r w:rsidR="00E3771A">
        <w:rPr>
          <w:spacing w:val="-3"/>
        </w:rPr>
        <w:t>Moisture-Density Relations of Soils Using 10-lb. Rammer and 18" Drop</w:t>
      </w:r>
    </w:p>
    <w:p w14:paraId="269DF61B" w14:textId="77777777" w:rsidR="008A11F7" w:rsidRDefault="008A11F7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 xml:space="preserve">ASTM C131 </w:t>
      </w:r>
      <w:r w:rsidR="0067783A">
        <w:rPr>
          <w:spacing w:val="-3"/>
        </w:rPr>
        <w:t>–</w:t>
      </w:r>
      <w:r w:rsidR="002C0E95">
        <w:rPr>
          <w:spacing w:val="-3"/>
        </w:rPr>
        <w:t xml:space="preserve"> </w:t>
      </w:r>
      <w:r>
        <w:rPr>
          <w:spacing w:val="-3"/>
        </w:rPr>
        <w:t xml:space="preserve">Standard Test Method for </w:t>
      </w:r>
      <w:r w:rsidR="002C0E95">
        <w:rPr>
          <w:spacing w:val="-3"/>
        </w:rPr>
        <w:t xml:space="preserve">Resistance to Degradation of </w:t>
      </w:r>
      <w:r>
        <w:rPr>
          <w:spacing w:val="-3"/>
        </w:rPr>
        <w:t>Small-Size Coarse Aggregate by Abrasion &amp; Impact in Los Angles Machine</w:t>
      </w:r>
    </w:p>
    <w:p w14:paraId="14F732B7" w14:textId="77777777" w:rsidR="008A11F7" w:rsidRDefault="0067783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 xml:space="preserve">ASTM </w:t>
      </w:r>
      <w:r w:rsidR="008A11F7">
        <w:rPr>
          <w:spacing w:val="-3"/>
        </w:rPr>
        <w:t xml:space="preserve">D422 </w:t>
      </w:r>
      <w:r w:rsidR="002C0E95">
        <w:rPr>
          <w:spacing w:val="-3"/>
        </w:rPr>
        <w:t xml:space="preserve">- </w:t>
      </w:r>
      <w:r w:rsidR="008A11F7">
        <w:rPr>
          <w:spacing w:val="-3"/>
        </w:rPr>
        <w:t>Standard Test Method for Particle Size Analysis of Soils</w:t>
      </w:r>
    </w:p>
    <w:p w14:paraId="6A616634" w14:textId="77777777" w:rsidR="008A11F7" w:rsidRDefault="008A11F7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 xml:space="preserve">ASTM </w:t>
      </w:r>
      <w:r w:rsidR="002C0E95">
        <w:rPr>
          <w:spacing w:val="-3"/>
        </w:rPr>
        <w:t>D</w:t>
      </w:r>
      <w:r>
        <w:rPr>
          <w:spacing w:val="-3"/>
        </w:rPr>
        <w:t xml:space="preserve">2419 </w:t>
      </w:r>
      <w:r w:rsidR="0067783A">
        <w:rPr>
          <w:spacing w:val="-3"/>
        </w:rPr>
        <w:t>–</w:t>
      </w:r>
      <w:r w:rsidR="002C0E95">
        <w:rPr>
          <w:spacing w:val="-3"/>
        </w:rPr>
        <w:t xml:space="preserve"> </w:t>
      </w:r>
      <w:r>
        <w:rPr>
          <w:spacing w:val="-3"/>
        </w:rPr>
        <w:t>Standard Test Method for Sand Equivalent Valve of Soils &amp; Fine Aggregate</w:t>
      </w:r>
    </w:p>
    <w:p w14:paraId="359ABCEC" w14:textId="77777777" w:rsidR="00E3771A" w:rsidRDefault="0067783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 xml:space="preserve">ASTM </w:t>
      </w:r>
      <w:r w:rsidR="002C0E95">
        <w:rPr>
          <w:spacing w:val="-3"/>
        </w:rPr>
        <w:t xml:space="preserve">D6938 </w:t>
      </w:r>
      <w:r w:rsidR="00E3771A">
        <w:rPr>
          <w:spacing w:val="-3"/>
        </w:rPr>
        <w:t xml:space="preserve">– </w:t>
      </w:r>
      <w:r w:rsidR="002C0E95">
        <w:rPr>
          <w:spacing w:val="-3"/>
        </w:rPr>
        <w:t xml:space="preserve">Standard Test Method for In-Place </w:t>
      </w:r>
      <w:r w:rsidR="00E3771A">
        <w:rPr>
          <w:spacing w:val="-3"/>
        </w:rPr>
        <w:t xml:space="preserve">Density </w:t>
      </w:r>
      <w:r w:rsidR="002C0E95">
        <w:rPr>
          <w:spacing w:val="-3"/>
        </w:rPr>
        <w:t xml:space="preserve">and Water Content </w:t>
      </w:r>
      <w:r w:rsidR="00E3771A">
        <w:rPr>
          <w:spacing w:val="-3"/>
        </w:rPr>
        <w:t>of Soil and Soil-Aggregate by Nuclear Methods (Shallow Depth)</w:t>
      </w:r>
    </w:p>
    <w:p w14:paraId="0C4E7005" w14:textId="77777777" w:rsidR="00E3771A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>FDOT  Std. Spec</w:t>
      </w:r>
      <w:r w:rsidR="0067783A">
        <w:rPr>
          <w:spacing w:val="-3"/>
        </w:rPr>
        <w:t xml:space="preserve">. – </w:t>
      </w:r>
      <w:r>
        <w:rPr>
          <w:spacing w:val="-3"/>
        </w:rPr>
        <w:t>Standard Specifications for Road and Bridge Construction</w:t>
      </w:r>
      <w:r w:rsidR="0067783A">
        <w:rPr>
          <w:spacing w:val="-3"/>
        </w:rPr>
        <w:t>, current edition</w:t>
      </w:r>
    </w:p>
    <w:p w14:paraId="382C31D4" w14:textId="77777777" w:rsidR="00E3771A" w:rsidRDefault="00E3771A">
      <w:pPr>
        <w:widowControl/>
        <w:numPr>
          <w:ilvl w:val="0"/>
          <w:numId w:val="11"/>
        </w:numPr>
        <w:rPr>
          <w:spacing w:val="-3"/>
        </w:rPr>
      </w:pPr>
      <w:r>
        <w:rPr>
          <w:spacing w:val="-3"/>
        </w:rPr>
        <w:t xml:space="preserve">TESTING OF </w:t>
      </w:r>
      <w:r w:rsidR="006F3AA5">
        <w:rPr>
          <w:spacing w:val="-3"/>
        </w:rPr>
        <w:t>COMPACTION</w:t>
      </w:r>
    </w:p>
    <w:p w14:paraId="12806CD5" w14:textId="77777777" w:rsidR="00937D5B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>Owner will select and retain a state licensed testing laboratory, and pay all testing cost.</w:t>
      </w:r>
    </w:p>
    <w:p w14:paraId="63DBE08C" w14:textId="77777777" w:rsidR="00E3771A" w:rsidRDefault="00E3771A" w:rsidP="00937D5B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Contractor shall reimburse Owner for all re-testing cost due to failed tests.</w:t>
      </w:r>
    </w:p>
    <w:p w14:paraId="05424B68" w14:textId="77777777" w:rsidR="00937D5B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>Contractor is responsible for notifying the testing laboratory twenty-four hours in advance when material and/or work is ready for testing.</w:t>
      </w:r>
    </w:p>
    <w:p w14:paraId="5B538183" w14:textId="77777777" w:rsidR="00E3771A" w:rsidRDefault="00E3771A" w:rsidP="00937D5B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Work of testing laboratory will consist of, but not be limited to, the following:</w:t>
      </w:r>
    </w:p>
    <w:p w14:paraId="2D9C694A" w14:textId="77777777" w:rsidR="00937D5B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 xml:space="preserve">Laboratory maximum density determination, AASHTO T180 Method D – one representative test from each 1000 cubic yards of subgrade fill and 2000 cubic yards of </w:t>
      </w:r>
      <w:proofErr w:type="spellStart"/>
      <w:r>
        <w:rPr>
          <w:spacing w:val="-3"/>
        </w:rPr>
        <w:t>limerock</w:t>
      </w:r>
      <w:proofErr w:type="spellEnd"/>
      <w:r>
        <w:rPr>
          <w:spacing w:val="-3"/>
        </w:rPr>
        <w:t xml:space="preserve"> base from both site and borrow pits.</w:t>
      </w:r>
    </w:p>
    <w:p w14:paraId="64800888" w14:textId="77777777" w:rsidR="00937D5B" w:rsidRDefault="00E3771A" w:rsidP="00937D5B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Test material from each source separately.</w:t>
      </w:r>
    </w:p>
    <w:p w14:paraId="1ED442A4" w14:textId="77777777" w:rsidR="00E3771A" w:rsidRDefault="00E3771A" w:rsidP="00937D5B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If composition from any source changes, a new test is required.</w:t>
      </w:r>
    </w:p>
    <w:p w14:paraId="500D635F" w14:textId="77777777" w:rsidR="00937D5B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lastRenderedPageBreak/>
        <w:t xml:space="preserve">In-place field density tests, ASTM </w:t>
      </w:r>
      <w:r w:rsidR="002C0E95">
        <w:rPr>
          <w:spacing w:val="-3"/>
        </w:rPr>
        <w:t>D6938</w:t>
      </w:r>
      <w:r>
        <w:rPr>
          <w:spacing w:val="-3"/>
        </w:rPr>
        <w:t>.</w:t>
      </w:r>
    </w:p>
    <w:p w14:paraId="2CAA0C87" w14:textId="77777777" w:rsidR="00937D5B" w:rsidRDefault="00E3771A" w:rsidP="00937D5B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At least one test per layer for each 2500 square feet or fraction thereof.</w:t>
      </w:r>
    </w:p>
    <w:p w14:paraId="12AF68CB" w14:textId="77777777" w:rsidR="00E3771A" w:rsidRDefault="00E3771A" w:rsidP="00937D5B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Make test near top of each layer prior to placing subsequent layer.</w:t>
      </w:r>
    </w:p>
    <w:p w14:paraId="6E53EDBD" w14:textId="77777777" w:rsidR="00E3771A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>Test reports shall be transmitted directly from laboratory as follows:</w:t>
      </w:r>
    </w:p>
    <w:p w14:paraId="24D45C21" w14:textId="77777777" w:rsidR="00E3771A" w:rsidRDefault="00E3771A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One</w:t>
      </w:r>
      <w:r w:rsidR="007D1F40">
        <w:rPr>
          <w:spacing w:val="-3"/>
        </w:rPr>
        <w:t xml:space="preserve"> copy to Owner's Representative</w:t>
      </w:r>
    </w:p>
    <w:p w14:paraId="01DF2A32" w14:textId="77777777" w:rsidR="00E3771A" w:rsidRDefault="007D1F40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Two copies to A/E</w:t>
      </w:r>
    </w:p>
    <w:p w14:paraId="69626939" w14:textId="77777777" w:rsidR="00E3771A" w:rsidRDefault="00E3771A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Copies as requested to Contractor.</w:t>
      </w:r>
    </w:p>
    <w:p w14:paraId="7F6B9E3A" w14:textId="77777777" w:rsidR="00E3771A" w:rsidRDefault="00937D5B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>Identify t</w:t>
      </w:r>
      <w:r w:rsidR="00E3771A">
        <w:rPr>
          <w:spacing w:val="-3"/>
        </w:rPr>
        <w:t xml:space="preserve">est reports by project title, A/E Project </w:t>
      </w:r>
      <w:r>
        <w:rPr>
          <w:spacing w:val="-3"/>
        </w:rPr>
        <w:t>Number</w:t>
      </w:r>
      <w:r w:rsidR="00E3771A">
        <w:rPr>
          <w:spacing w:val="-3"/>
        </w:rPr>
        <w:t xml:space="preserve">, project location, </w:t>
      </w:r>
      <w:r w:rsidR="007D1F40">
        <w:rPr>
          <w:spacing w:val="-3"/>
        </w:rPr>
        <w:t>location,</w:t>
      </w:r>
      <w:r w:rsidR="00E3771A">
        <w:rPr>
          <w:spacing w:val="-3"/>
        </w:rPr>
        <w:t xml:space="preserve"> and depth of each on-site test submitted.</w:t>
      </w:r>
    </w:p>
    <w:p w14:paraId="5EA204D7" w14:textId="77777777" w:rsidR="00E3771A" w:rsidRDefault="00E3771A">
      <w:pPr>
        <w:widowControl/>
        <w:numPr>
          <w:ilvl w:val="0"/>
          <w:numId w:val="11"/>
        </w:numPr>
        <w:rPr>
          <w:spacing w:val="-3"/>
        </w:rPr>
      </w:pPr>
      <w:r>
        <w:rPr>
          <w:spacing w:val="-3"/>
        </w:rPr>
        <w:t>TESTING OF BITUMINOUS CONCRETE MATERIAL</w:t>
      </w:r>
    </w:p>
    <w:p w14:paraId="08A089FF" w14:textId="77777777" w:rsidR="00E3771A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>Contractor shall retain a reputable independent testing laboratory to ensure that asphaltic concrete mix meets specifications.</w:t>
      </w:r>
    </w:p>
    <w:p w14:paraId="11DA9F9B" w14:textId="77777777" w:rsidR="00E3771A" w:rsidRDefault="00E3771A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Contractor shall supply samples of mix materials to testing laboratory for analysis and testing.</w:t>
      </w:r>
    </w:p>
    <w:p w14:paraId="0B29B7FB" w14:textId="77777777" w:rsidR="00E3771A" w:rsidRDefault="00E3771A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No plant operations shall begin until testing laboratory certifies, in writing, that mix proposed meets specifications and the A/E receives the certification.</w:t>
      </w:r>
    </w:p>
    <w:p w14:paraId="5A83D446" w14:textId="77777777" w:rsidR="00E3771A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>During delivery and placement of asphaltic concrete, the testing laboratory shall take samples and test them for compliance with the certified mix.</w:t>
      </w:r>
    </w:p>
    <w:p w14:paraId="0E737532" w14:textId="77777777" w:rsidR="00E3771A" w:rsidRDefault="00E3771A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The mix shall be uniform throughout the project.</w:t>
      </w:r>
    </w:p>
    <w:p w14:paraId="7E63CAFD" w14:textId="77777777" w:rsidR="00E3771A" w:rsidRDefault="00E3771A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The testing laboratory shall test at least one (1) sample from each 50 tons of material or fraction thereof in any one day.</w:t>
      </w:r>
    </w:p>
    <w:p w14:paraId="556F4538" w14:textId="77777777" w:rsidR="001F3D01" w:rsidRDefault="001F3D01">
      <w:pPr>
        <w:widowControl/>
        <w:tabs>
          <w:tab w:val="left" w:pos="900"/>
        </w:tabs>
        <w:ind w:left="720" w:hanging="720"/>
        <w:rPr>
          <w:b/>
          <w:spacing w:val="-3"/>
        </w:rPr>
      </w:pPr>
    </w:p>
    <w:p w14:paraId="28BF522F" w14:textId="77777777" w:rsidR="00E3771A" w:rsidRPr="003E0527" w:rsidRDefault="00E3771A">
      <w:pPr>
        <w:widowControl/>
        <w:tabs>
          <w:tab w:val="left" w:pos="900"/>
        </w:tabs>
        <w:ind w:left="720" w:hanging="720"/>
        <w:rPr>
          <w:b/>
          <w:spacing w:val="-3"/>
        </w:rPr>
      </w:pPr>
      <w:r w:rsidRPr="003E0527">
        <w:rPr>
          <w:b/>
          <w:spacing w:val="-3"/>
        </w:rPr>
        <w:t>PART 2</w:t>
      </w:r>
      <w:r w:rsidR="006F3AA5" w:rsidRPr="003E0527">
        <w:rPr>
          <w:b/>
          <w:spacing w:val="-3"/>
        </w:rPr>
        <w:tab/>
      </w:r>
      <w:r w:rsidRPr="003E0527">
        <w:rPr>
          <w:b/>
          <w:spacing w:val="-3"/>
        </w:rPr>
        <w:tab/>
        <w:t>PRODUCTS</w:t>
      </w:r>
    </w:p>
    <w:p w14:paraId="4EC08A93" w14:textId="77777777" w:rsidR="00E3771A" w:rsidRPr="007B2F0F" w:rsidRDefault="00E3771A">
      <w:pPr>
        <w:widowControl/>
        <w:numPr>
          <w:ilvl w:val="0"/>
          <w:numId w:val="12"/>
        </w:numPr>
        <w:rPr>
          <w:spacing w:val="-3"/>
        </w:rPr>
      </w:pPr>
      <w:r w:rsidRPr="007B2F0F">
        <w:rPr>
          <w:spacing w:val="-3"/>
        </w:rPr>
        <w:t>MATERIALS</w:t>
      </w:r>
    </w:p>
    <w:p w14:paraId="4B90F767" w14:textId="77777777" w:rsidR="0010269D" w:rsidRPr="007B2F0F" w:rsidRDefault="0067783A">
      <w:pPr>
        <w:widowControl/>
        <w:numPr>
          <w:ilvl w:val="1"/>
          <w:numId w:val="12"/>
        </w:numPr>
        <w:rPr>
          <w:spacing w:val="-3"/>
        </w:rPr>
      </w:pPr>
      <w:r w:rsidRPr="007B2F0F">
        <w:rPr>
          <w:spacing w:val="-3"/>
        </w:rPr>
        <w:t>Stabilized subgrade</w:t>
      </w:r>
      <w:r w:rsidR="0010269D" w:rsidRPr="007B2F0F">
        <w:rPr>
          <w:spacing w:val="-3"/>
        </w:rPr>
        <w:t xml:space="preserve"> shall have a minimum </w:t>
      </w:r>
      <w:proofErr w:type="spellStart"/>
      <w:r w:rsidR="0010269D" w:rsidRPr="007B2F0F">
        <w:rPr>
          <w:spacing w:val="-3"/>
        </w:rPr>
        <w:t>Limerock</w:t>
      </w:r>
      <w:proofErr w:type="spellEnd"/>
      <w:r w:rsidR="0010269D" w:rsidRPr="007B2F0F">
        <w:rPr>
          <w:spacing w:val="-3"/>
        </w:rPr>
        <w:t xml:space="preserve"> Bearing Ratio (LBR) of 40 or a Florida Bearing Value (FBV) of 75 psi.</w:t>
      </w:r>
    </w:p>
    <w:p w14:paraId="137007A2" w14:textId="77777777" w:rsidR="001B09D2" w:rsidRPr="007B2F0F" w:rsidRDefault="001B09D2" w:rsidP="00E33760">
      <w:pPr>
        <w:widowControl/>
        <w:numPr>
          <w:ilvl w:val="1"/>
          <w:numId w:val="12"/>
        </w:numPr>
        <w:rPr>
          <w:spacing w:val="-3"/>
        </w:rPr>
      </w:pPr>
      <w:r w:rsidRPr="007B2F0F">
        <w:rPr>
          <w:spacing w:val="-3"/>
        </w:rPr>
        <w:t>Compacted subgrade shall have a minimum density of 98% AASHTO T-180.</w:t>
      </w:r>
    </w:p>
    <w:p w14:paraId="4BE183D4" w14:textId="77777777" w:rsidR="00937D5B" w:rsidRPr="007B2F0F" w:rsidRDefault="00E3771A" w:rsidP="00E33760">
      <w:pPr>
        <w:widowControl/>
        <w:numPr>
          <w:ilvl w:val="1"/>
          <w:numId w:val="12"/>
        </w:numPr>
        <w:rPr>
          <w:spacing w:val="-3"/>
        </w:rPr>
      </w:pPr>
      <w:r w:rsidRPr="007B2F0F">
        <w:rPr>
          <w:spacing w:val="-3"/>
        </w:rPr>
        <w:t xml:space="preserve">Base course shall be </w:t>
      </w:r>
      <w:proofErr w:type="spellStart"/>
      <w:r w:rsidRPr="007B2F0F">
        <w:rPr>
          <w:spacing w:val="-3"/>
        </w:rPr>
        <w:t>limerock</w:t>
      </w:r>
      <w:proofErr w:type="spellEnd"/>
      <w:r w:rsidRPr="007B2F0F">
        <w:rPr>
          <w:spacing w:val="-3"/>
        </w:rPr>
        <w:t xml:space="preserve"> meeting FDOT Std. Spec</w:t>
      </w:r>
      <w:r w:rsidR="0067783A" w:rsidRPr="007B2F0F">
        <w:rPr>
          <w:spacing w:val="-3"/>
        </w:rPr>
        <w:t>.</w:t>
      </w:r>
      <w:r w:rsidRPr="007B2F0F">
        <w:rPr>
          <w:spacing w:val="-3"/>
        </w:rPr>
        <w:t>, free from subgrade sand.</w:t>
      </w:r>
    </w:p>
    <w:p w14:paraId="258B3BC7" w14:textId="77777777" w:rsidR="0010269D" w:rsidRPr="007B2F0F" w:rsidRDefault="0010269D" w:rsidP="0010269D">
      <w:pPr>
        <w:widowControl/>
        <w:numPr>
          <w:ilvl w:val="2"/>
          <w:numId w:val="12"/>
        </w:numPr>
        <w:rPr>
          <w:spacing w:val="-3"/>
        </w:rPr>
      </w:pPr>
      <w:r w:rsidRPr="007B2F0F">
        <w:rPr>
          <w:spacing w:val="-3"/>
        </w:rPr>
        <w:t xml:space="preserve">Base course shall have a </w:t>
      </w:r>
      <w:r w:rsidR="0067783A" w:rsidRPr="007B2F0F">
        <w:rPr>
          <w:spacing w:val="-3"/>
        </w:rPr>
        <w:t xml:space="preserve">minimum </w:t>
      </w:r>
      <w:proofErr w:type="spellStart"/>
      <w:r w:rsidR="0067783A" w:rsidRPr="007B2F0F">
        <w:rPr>
          <w:spacing w:val="-3"/>
        </w:rPr>
        <w:t>Limerock</w:t>
      </w:r>
      <w:proofErr w:type="spellEnd"/>
      <w:r w:rsidR="0067783A" w:rsidRPr="007B2F0F">
        <w:rPr>
          <w:spacing w:val="-3"/>
        </w:rPr>
        <w:t xml:space="preserve"> Bearing Ratio (LBR) of 100.</w:t>
      </w:r>
    </w:p>
    <w:p w14:paraId="6980FA03" w14:textId="77777777" w:rsidR="00937D5B" w:rsidRPr="00964DFA" w:rsidRDefault="00E3771A" w:rsidP="00937D5B">
      <w:pPr>
        <w:widowControl/>
        <w:numPr>
          <w:ilvl w:val="2"/>
          <w:numId w:val="12"/>
        </w:numPr>
        <w:rPr>
          <w:spacing w:val="-3"/>
        </w:rPr>
      </w:pPr>
      <w:r w:rsidRPr="007B2F0F">
        <w:rPr>
          <w:spacing w:val="-3"/>
        </w:rPr>
        <w:t xml:space="preserve">Owner will consider alternate base </w:t>
      </w:r>
      <w:r w:rsidRPr="00964DFA">
        <w:rPr>
          <w:spacing w:val="-3"/>
        </w:rPr>
        <w:t xml:space="preserve">materials meeting </w:t>
      </w:r>
      <w:r w:rsidR="005A7E1A" w:rsidRPr="00964DFA">
        <w:rPr>
          <w:spacing w:val="-3"/>
        </w:rPr>
        <w:t xml:space="preserve">or exceeding </w:t>
      </w:r>
      <w:r w:rsidRPr="00964DFA">
        <w:rPr>
          <w:spacing w:val="-3"/>
        </w:rPr>
        <w:t xml:space="preserve">the performance of the </w:t>
      </w:r>
      <w:proofErr w:type="spellStart"/>
      <w:r w:rsidRPr="00964DFA">
        <w:rPr>
          <w:spacing w:val="-3"/>
        </w:rPr>
        <w:t>limerock</w:t>
      </w:r>
      <w:proofErr w:type="spellEnd"/>
      <w:r w:rsidRPr="00964DFA">
        <w:rPr>
          <w:spacing w:val="-3"/>
        </w:rPr>
        <w:t xml:space="preserve"> base material.</w:t>
      </w:r>
    </w:p>
    <w:p w14:paraId="14043230" w14:textId="77777777" w:rsidR="00E3771A" w:rsidRPr="00964DFA" w:rsidRDefault="00E3771A">
      <w:pPr>
        <w:widowControl/>
        <w:numPr>
          <w:ilvl w:val="1"/>
          <w:numId w:val="12"/>
        </w:numPr>
        <w:rPr>
          <w:spacing w:val="-3"/>
        </w:rPr>
      </w:pPr>
      <w:r w:rsidRPr="00964DFA">
        <w:rPr>
          <w:spacing w:val="-3"/>
        </w:rPr>
        <w:t xml:space="preserve">Prime </w:t>
      </w:r>
      <w:r w:rsidR="001B09D2" w:rsidRPr="00964DFA">
        <w:rPr>
          <w:spacing w:val="-3"/>
        </w:rPr>
        <w:t>and t</w:t>
      </w:r>
      <w:r w:rsidR="0010269D" w:rsidRPr="00964DFA">
        <w:rPr>
          <w:spacing w:val="-3"/>
        </w:rPr>
        <w:t xml:space="preserve">ack </w:t>
      </w:r>
      <w:r w:rsidRPr="00964DFA">
        <w:rPr>
          <w:spacing w:val="-3"/>
        </w:rPr>
        <w:t>coat</w:t>
      </w:r>
      <w:r w:rsidR="0010269D" w:rsidRPr="00964DFA">
        <w:rPr>
          <w:spacing w:val="-3"/>
        </w:rPr>
        <w:t>s</w:t>
      </w:r>
      <w:r w:rsidRPr="00964DFA">
        <w:rPr>
          <w:spacing w:val="-3"/>
        </w:rPr>
        <w:t xml:space="preserve"> shall be </w:t>
      </w:r>
      <w:r w:rsidR="001B09D2" w:rsidRPr="00964DFA">
        <w:rPr>
          <w:spacing w:val="-3"/>
        </w:rPr>
        <w:t xml:space="preserve">a </w:t>
      </w:r>
      <w:proofErr w:type="spellStart"/>
      <w:r w:rsidR="001B09D2" w:rsidRPr="00964DFA">
        <w:rPr>
          <w:spacing w:val="-3"/>
        </w:rPr>
        <w:t>superpave</w:t>
      </w:r>
      <w:proofErr w:type="spellEnd"/>
      <w:r w:rsidR="001B09D2" w:rsidRPr="00964DFA">
        <w:rPr>
          <w:spacing w:val="-3"/>
        </w:rPr>
        <w:t xml:space="preserve"> performance graded asphalt binder, FDOT Type PG 52-28.</w:t>
      </w:r>
    </w:p>
    <w:p w14:paraId="000620E6" w14:textId="77777777" w:rsidR="007B2553" w:rsidRPr="00964DFA" w:rsidRDefault="001B09D2" w:rsidP="007B2553">
      <w:pPr>
        <w:widowControl/>
        <w:numPr>
          <w:ilvl w:val="2"/>
          <w:numId w:val="12"/>
        </w:numPr>
        <w:rPr>
          <w:spacing w:val="-3"/>
        </w:rPr>
      </w:pPr>
      <w:r w:rsidRPr="00964DFA">
        <w:rPr>
          <w:spacing w:val="-3"/>
        </w:rPr>
        <w:t>Do not use cut back or emulsified asphalt binders.</w:t>
      </w:r>
    </w:p>
    <w:p w14:paraId="0628D9A5" w14:textId="77777777" w:rsidR="007B2553" w:rsidRPr="00964DFA" w:rsidRDefault="007B2553" w:rsidP="007B2553">
      <w:pPr>
        <w:widowControl/>
        <w:numPr>
          <w:ilvl w:val="1"/>
          <w:numId w:val="12"/>
        </w:numPr>
        <w:rPr>
          <w:spacing w:val="-3"/>
        </w:rPr>
      </w:pPr>
      <w:r w:rsidRPr="00964DFA">
        <w:rPr>
          <w:spacing w:val="-3"/>
        </w:rPr>
        <w:t>Asphalt concrete shall be FDOT SP-9.5</w:t>
      </w:r>
      <w:r w:rsidR="0054777F" w:rsidRPr="00964DFA">
        <w:rPr>
          <w:spacing w:val="-3"/>
        </w:rPr>
        <w:t>, fine mix.</w:t>
      </w:r>
    </w:p>
    <w:p w14:paraId="68324A5C" w14:textId="77777777" w:rsidR="003C2912" w:rsidRPr="00964DFA" w:rsidRDefault="001B09D2">
      <w:pPr>
        <w:widowControl/>
        <w:numPr>
          <w:ilvl w:val="1"/>
          <w:numId w:val="12"/>
        </w:numPr>
        <w:rPr>
          <w:spacing w:val="-3"/>
        </w:rPr>
      </w:pPr>
      <w:r w:rsidRPr="00964DFA">
        <w:rPr>
          <w:spacing w:val="-3"/>
        </w:rPr>
        <w:t xml:space="preserve">Standard </w:t>
      </w:r>
      <w:r w:rsidR="003C2912" w:rsidRPr="00964DFA">
        <w:rPr>
          <w:spacing w:val="-3"/>
        </w:rPr>
        <w:t>Pavement Section:</w:t>
      </w:r>
    </w:p>
    <w:p w14:paraId="6C5B947D" w14:textId="77777777" w:rsidR="003C2912" w:rsidRPr="00964DFA" w:rsidRDefault="003C2912" w:rsidP="003C2912">
      <w:pPr>
        <w:widowControl/>
        <w:numPr>
          <w:ilvl w:val="2"/>
          <w:numId w:val="12"/>
        </w:numPr>
        <w:rPr>
          <w:spacing w:val="-3"/>
        </w:rPr>
      </w:pPr>
      <w:r w:rsidRPr="00964DFA">
        <w:rPr>
          <w:spacing w:val="-3"/>
        </w:rPr>
        <w:t>12” thick stabilized subgrade.</w:t>
      </w:r>
    </w:p>
    <w:p w14:paraId="105C6AB6" w14:textId="77777777" w:rsidR="003C2912" w:rsidRPr="00964DFA" w:rsidRDefault="003C2912" w:rsidP="003C2912">
      <w:pPr>
        <w:widowControl/>
        <w:numPr>
          <w:ilvl w:val="2"/>
          <w:numId w:val="12"/>
        </w:numPr>
        <w:rPr>
          <w:spacing w:val="-3"/>
        </w:rPr>
      </w:pPr>
      <w:r w:rsidRPr="00964DFA">
        <w:rPr>
          <w:spacing w:val="-3"/>
        </w:rPr>
        <w:t xml:space="preserve">8” thick </w:t>
      </w:r>
      <w:proofErr w:type="spellStart"/>
      <w:r w:rsidRPr="00964DFA">
        <w:rPr>
          <w:spacing w:val="-3"/>
        </w:rPr>
        <w:t>limerock</w:t>
      </w:r>
      <w:proofErr w:type="spellEnd"/>
      <w:r w:rsidRPr="00964DFA">
        <w:rPr>
          <w:spacing w:val="-3"/>
        </w:rPr>
        <w:t xml:space="preserve"> base.</w:t>
      </w:r>
    </w:p>
    <w:p w14:paraId="44767FCA" w14:textId="538E8C3D" w:rsidR="00E3771A" w:rsidRPr="00964DFA" w:rsidRDefault="00AD1BB0" w:rsidP="003C2912">
      <w:pPr>
        <w:widowControl/>
        <w:numPr>
          <w:ilvl w:val="2"/>
          <w:numId w:val="12"/>
        </w:numPr>
        <w:rPr>
          <w:spacing w:val="-3"/>
        </w:rPr>
      </w:pPr>
      <w:r>
        <w:rPr>
          <w:spacing w:val="-3"/>
        </w:rPr>
        <w:t>2</w:t>
      </w:r>
      <w:r w:rsidR="00D83131" w:rsidRPr="00964DFA">
        <w:rPr>
          <w:spacing w:val="-3"/>
        </w:rPr>
        <w:t>”</w:t>
      </w:r>
      <w:r w:rsidR="007B2553" w:rsidRPr="00964DFA">
        <w:rPr>
          <w:spacing w:val="-3"/>
        </w:rPr>
        <w:t xml:space="preserve"> thick asphalt</w:t>
      </w:r>
      <w:r w:rsidR="003C2912" w:rsidRPr="00964DFA">
        <w:rPr>
          <w:spacing w:val="-3"/>
        </w:rPr>
        <w:t xml:space="preserve">, placed in </w:t>
      </w:r>
      <w:r w:rsidR="0010269D" w:rsidRPr="00964DFA">
        <w:rPr>
          <w:spacing w:val="-3"/>
        </w:rPr>
        <w:t>t</w:t>
      </w:r>
      <w:r w:rsidR="003C2912" w:rsidRPr="00964DFA">
        <w:rPr>
          <w:spacing w:val="-3"/>
        </w:rPr>
        <w:t xml:space="preserve">wo layers, </w:t>
      </w:r>
      <w:r>
        <w:rPr>
          <w:spacing w:val="-3"/>
        </w:rPr>
        <w:t>1</w:t>
      </w:r>
      <w:r w:rsidR="003C2912" w:rsidRPr="00964DFA">
        <w:rPr>
          <w:spacing w:val="-3"/>
        </w:rPr>
        <w:t>" (bottom)</w:t>
      </w:r>
      <w:r w:rsidR="00E3771A" w:rsidRPr="00964DFA">
        <w:rPr>
          <w:spacing w:val="-3"/>
        </w:rPr>
        <w:t xml:space="preserve">, and </w:t>
      </w:r>
      <w:r>
        <w:rPr>
          <w:spacing w:val="-3"/>
        </w:rPr>
        <w:t>1</w:t>
      </w:r>
      <w:r w:rsidR="00E3771A" w:rsidRPr="00964DFA">
        <w:rPr>
          <w:spacing w:val="-3"/>
        </w:rPr>
        <w:t xml:space="preserve">" </w:t>
      </w:r>
      <w:r w:rsidR="003C2912" w:rsidRPr="00964DFA">
        <w:rPr>
          <w:spacing w:val="-3"/>
        </w:rPr>
        <w:t>(top)</w:t>
      </w:r>
      <w:r w:rsidR="00E3771A" w:rsidRPr="00964DFA">
        <w:rPr>
          <w:spacing w:val="-3"/>
        </w:rPr>
        <w:t>.</w:t>
      </w:r>
    </w:p>
    <w:p w14:paraId="111140A7" w14:textId="77777777" w:rsidR="00E3771A" w:rsidRPr="00964DFA" w:rsidRDefault="007B2553" w:rsidP="003C2912">
      <w:pPr>
        <w:widowControl/>
        <w:numPr>
          <w:ilvl w:val="1"/>
          <w:numId w:val="12"/>
        </w:numPr>
        <w:rPr>
          <w:spacing w:val="-3"/>
        </w:rPr>
      </w:pPr>
      <w:r w:rsidRPr="00964DFA">
        <w:rPr>
          <w:spacing w:val="-3"/>
        </w:rPr>
        <w:t>Subgrade</w:t>
      </w:r>
      <w:r w:rsidR="00E3771A" w:rsidRPr="00964DFA">
        <w:rPr>
          <w:spacing w:val="-3"/>
        </w:rPr>
        <w:t xml:space="preserve"> </w:t>
      </w:r>
      <w:r w:rsidR="00F94CF8" w:rsidRPr="00964DFA">
        <w:rPr>
          <w:spacing w:val="-3"/>
        </w:rPr>
        <w:t>source</w:t>
      </w:r>
      <w:r w:rsidR="00E3771A" w:rsidRPr="00964DFA">
        <w:rPr>
          <w:spacing w:val="-3"/>
        </w:rPr>
        <w:t xml:space="preserve"> material </w:t>
      </w:r>
      <w:r w:rsidR="00F94CF8" w:rsidRPr="00964DFA">
        <w:rPr>
          <w:spacing w:val="-3"/>
        </w:rPr>
        <w:t xml:space="preserve">shall meet </w:t>
      </w:r>
      <w:r w:rsidR="00E3771A" w:rsidRPr="00964DFA">
        <w:rPr>
          <w:spacing w:val="-3"/>
        </w:rPr>
        <w:t xml:space="preserve">for fill and backfill </w:t>
      </w:r>
      <w:r w:rsidR="00F94CF8" w:rsidRPr="00964DFA">
        <w:rPr>
          <w:spacing w:val="-3"/>
        </w:rPr>
        <w:t xml:space="preserve">requirements </w:t>
      </w:r>
      <w:r w:rsidR="00E3771A" w:rsidRPr="00964DFA">
        <w:rPr>
          <w:spacing w:val="-3"/>
        </w:rPr>
        <w:t xml:space="preserve">as defined in Section </w:t>
      </w:r>
      <w:r w:rsidR="007D1F40" w:rsidRPr="00964DFA">
        <w:rPr>
          <w:spacing w:val="-3"/>
        </w:rPr>
        <w:t>31 20 00</w:t>
      </w:r>
      <w:r w:rsidR="00E3771A" w:rsidRPr="00964DFA">
        <w:rPr>
          <w:spacing w:val="-3"/>
        </w:rPr>
        <w:t>, Earthwork.</w:t>
      </w:r>
    </w:p>
    <w:p w14:paraId="5DE9F918" w14:textId="77777777" w:rsidR="001F3D01" w:rsidRPr="00964DFA" w:rsidRDefault="001F3D01">
      <w:pPr>
        <w:widowControl/>
        <w:tabs>
          <w:tab w:val="left" w:pos="900"/>
        </w:tabs>
        <w:ind w:left="720" w:hanging="720"/>
        <w:rPr>
          <w:b/>
          <w:spacing w:val="-3"/>
        </w:rPr>
      </w:pPr>
    </w:p>
    <w:p w14:paraId="7405F0EC" w14:textId="77777777" w:rsidR="00E3771A" w:rsidRPr="003E0527" w:rsidRDefault="00E3771A">
      <w:pPr>
        <w:widowControl/>
        <w:tabs>
          <w:tab w:val="left" w:pos="900"/>
        </w:tabs>
        <w:ind w:left="720" w:hanging="720"/>
        <w:rPr>
          <w:b/>
          <w:spacing w:val="-3"/>
        </w:rPr>
      </w:pPr>
      <w:r w:rsidRPr="00964DFA">
        <w:rPr>
          <w:b/>
          <w:spacing w:val="-3"/>
        </w:rPr>
        <w:t>PART 3</w:t>
      </w:r>
      <w:r w:rsidR="006F3AA5" w:rsidRPr="00964DFA">
        <w:rPr>
          <w:b/>
          <w:spacing w:val="-3"/>
        </w:rPr>
        <w:tab/>
      </w:r>
      <w:r w:rsidRPr="00964DFA">
        <w:rPr>
          <w:b/>
          <w:spacing w:val="-3"/>
        </w:rPr>
        <w:tab/>
        <w:t>EXECUTION</w:t>
      </w:r>
    </w:p>
    <w:p w14:paraId="22F87A75" w14:textId="77777777" w:rsidR="00E3771A" w:rsidRDefault="003C2912">
      <w:pPr>
        <w:widowControl/>
        <w:numPr>
          <w:ilvl w:val="0"/>
          <w:numId w:val="13"/>
        </w:numPr>
        <w:rPr>
          <w:spacing w:val="-3"/>
        </w:rPr>
      </w:pPr>
      <w:r>
        <w:rPr>
          <w:spacing w:val="-3"/>
        </w:rPr>
        <w:t>FDOT STANDARD SPECIFICATIONS FOR ROAD AND BRIDGE CONSTRUCTION</w:t>
      </w:r>
    </w:p>
    <w:p w14:paraId="317EA38F" w14:textId="77777777" w:rsidR="007B2553" w:rsidRDefault="005A7E1A" w:rsidP="007B2553">
      <w:pPr>
        <w:widowControl/>
        <w:numPr>
          <w:ilvl w:val="1"/>
          <w:numId w:val="13"/>
        </w:numPr>
        <w:rPr>
          <w:spacing w:val="-3"/>
        </w:rPr>
      </w:pPr>
      <w:r>
        <w:rPr>
          <w:spacing w:val="-3"/>
        </w:rPr>
        <w:t>Execution of a</w:t>
      </w:r>
      <w:r w:rsidR="003C2912" w:rsidRPr="005A7E1A">
        <w:rPr>
          <w:spacing w:val="-3"/>
        </w:rPr>
        <w:t xml:space="preserve">ll work shall comply with the FDOT </w:t>
      </w:r>
      <w:r w:rsidR="007B2553" w:rsidRPr="005A7E1A">
        <w:rPr>
          <w:spacing w:val="-3"/>
        </w:rPr>
        <w:t>Std. Spec., current edition.</w:t>
      </w:r>
    </w:p>
    <w:p w14:paraId="6255829C" w14:textId="77777777" w:rsidR="00E3771A" w:rsidRPr="003E0527" w:rsidRDefault="00E3771A">
      <w:pPr>
        <w:widowControl/>
        <w:jc w:val="center"/>
        <w:rPr>
          <w:b/>
          <w:spacing w:val="-3"/>
        </w:rPr>
      </w:pPr>
      <w:r w:rsidRPr="003E0527">
        <w:rPr>
          <w:b/>
          <w:spacing w:val="-3"/>
        </w:rPr>
        <w:t>END OF SECTION</w:t>
      </w:r>
    </w:p>
    <w:sectPr w:rsidR="00E3771A" w:rsidRPr="003E0527" w:rsidSect="00964DFA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B1764" w14:textId="77777777" w:rsidR="00BC1FE8" w:rsidRDefault="00BC1FE8">
      <w:r>
        <w:separator/>
      </w:r>
    </w:p>
  </w:endnote>
  <w:endnote w:type="continuationSeparator" w:id="0">
    <w:p w14:paraId="1EB52A29" w14:textId="77777777" w:rsidR="00BC1FE8" w:rsidRDefault="00BC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EC11C" w14:textId="52C27A4C" w:rsidR="00553F35" w:rsidRDefault="00553F35">
    <w:pPr>
      <w:tabs>
        <w:tab w:val="center" w:pos="4680"/>
        <w:tab w:val="right" w:pos="9360"/>
      </w:tabs>
      <w:suppressAutoHyphens/>
      <w:jc w:val="both"/>
      <w:rPr>
        <w:spacing w:val="-3"/>
      </w:rPr>
    </w:pPr>
    <w:r>
      <w:rPr>
        <w:spacing w:val="-3"/>
      </w:rPr>
      <w:tab/>
      <w:t>32 12 16</w:t>
    </w:r>
    <w:r w:rsidR="009B5BA2">
      <w:rPr>
        <w:spacing w:val="-3"/>
      </w:rPr>
      <w:t xml:space="preserve"> </w:t>
    </w:r>
    <w:r>
      <w:rPr>
        <w:spacing w:val="-3"/>
      </w:rPr>
      <w:t>-</w:t>
    </w:r>
    <w:r w:rsidR="009B5BA2">
      <w:rPr>
        <w:spacing w:val="-3"/>
      </w:rPr>
      <w:t xml:space="preserve"> </w:t>
    </w:r>
    <w:r w:rsidR="00975612">
      <w:rPr>
        <w:spacing w:val="-3"/>
      </w:rPr>
      <w:fldChar w:fldCharType="begin"/>
    </w:r>
    <w:r>
      <w:rPr>
        <w:spacing w:val="-3"/>
      </w:rPr>
      <w:instrText>page \* arabic</w:instrText>
    </w:r>
    <w:r w:rsidR="00975612">
      <w:rPr>
        <w:spacing w:val="-3"/>
      </w:rPr>
      <w:fldChar w:fldCharType="separate"/>
    </w:r>
    <w:r w:rsidR="00AD1BB0">
      <w:rPr>
        <w:noProof/>
        <w:spacing w:val="-3"/>
      </w:rPr>
      <w:t>2</w:t>
    </w:r>
    <w:r w:rsidR="00975612">
      <w:rPr>
        <w:spacing w:val="-3"/>
      </w:rPr>
      <w:fldChar w:fldCharType="end"/>
    </w:r>
    <w:r>
      <w:rPr>
        <w:spacing w:val="-3"/>
      </w:rPr>
      <w:t xml:space="preserve"> of </w:t>
    </w:r>
    <w:r w:rsidR="00975612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975612">
      <w:rPr>
        <w:rStyle w:val="PageNumber"/>
      </w:rPr>
      <w:fldChar w:fldCharType="separate"/>
    </w:r>
    <w:r w:rsidR="00AD1BB0">
      <w:rPr>
        <w:rStyle w:val="PageNumber"/>
        <w:noProof/>
      </w:rPr>
      <w:t>2</w:t>
    </w:r>
    <w:r w:rsidR="00975612">
      <w:rPr>
        <w:rStyle w:val="PageNumber"/>
      </w:rPr>
      <w:fldChar w:fldCharType="end"/>
    </w:r>
    <w:r>
      <w:rPr>
        <w:spacing w:val="-3"/>
      </w:rPr>
      <w:tab/>
      <w:t>Asphalt Paving</w:t>
    </w:r>
  </w:p>
  <w:p w14:paraId="0A92F6F6" w14:textId="77777777" w:rsidR="00553F35" w:rsidRDefault="00553F35">
    <w:pPr>
      <w:tabs>
        <w:tab w:val="center" w:pos="4680"/>
        <w:tab w:val="right" w:pos="9360"/>
      </w:tabs>
      <w:suppressAutoHyphens/>
      <w:jc w:val="both"/>
      <w:rPr>
        <w:spacing w:val="-3"/>
      </w:rPr>
    </w:pPr>
    <w:r>
      <w:rPr>
        <w:spacing w:val="-3"/>
      </w:rPr>
      <w:tab/>
    </w:r>
    <w:r>
      <w:rPr>
        <w:spacing w:val="-3"/>
      </w:rPr>
      <w:tab/>
    </w:r>
    <w:r w:rsidR="00F94CF8">
      <w:rPr>
        <w:spacing w:val="-3"/>
      </w:rPr>
      <w:t>DMS</w:t>
    </w:r>
    <w:r>
      <w:rPr>
        <w:spacing w:val="-3"/>
      </w:rPr>
      <w:t xml:space="preserve"> </w:t>
    </w:r>
    <w:r w:rsidR="00F94CF8">
      <w:rPr>
        <w:spacing w:val="-3"/>
      </w:rPr>
      <w:t>202</w:t>
    </w:r>
    <w:r w:rsidR="005759DE">
      <w:rPr>
        <w:spacing w:val="-3"/>
      </w:rPr>
      <w:t>3</w:t>
    </w:r>
    <w:r w:rsidR="002C0E95">
      <w:rPr>
        <w:spacing w:val="-3"/>
      </w:rPr>
      <w:t xml:space="preserve"> </w:t>
    </w:r>
    <w:r>
      <w:rPr>
        <w:spacing w:val="-3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7D200" w14:textId="77777777" w:rsidR="00BC1FE8" w:rsidRDefault="00BC1FE8">
      <w:r>
        <w:separator/>
      </w:r>
    </w:p>
  </w:footnote>
  <w:footnote w:type="continuationSeparator" w:id="0">
    <w:p w14:paraId="57B14A9B" w14:textId="77777777" w:rsidR="00BC1FE8" w:rsidRDefault="00BC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B20E2" w14:textId="77777777" w:rsidR="00553F35" w:rsidRDefault="00553F35">
    <w:pPr>
      <w:pStyle w:val="Header"/>
      <w:tabs>
        <w:tab w:val="clear" w:pos="4320"/>
        <w:tab w:val="clear" w:pos="8640"/>
      </w:tabs>
    </w:pPr>
    <w:r>
      <w:t xml:space="preserve">The School District of </w:t>
    </w:r>
    <w:smartTag w:uri="urn:schemas-microsoft-com:office:smarttags" w:element="place">
      <w:smartTag w:uri="urn:schemas-microsoft-com:office:smarttags" w:element="PlaceName">
        <w:r>
          <w:t>Palm Beach</w:t>
        </w:r>
      </w:smartTag>
      <w:r>
        <w:t xml:space="preserve"> </w:t>
      </w:r>
      <w:smartTag w:uri="urn:schemas-microsoft-com:office:smarttags" w:element="PlaceType">
        <w:r>
          <w:t>County</w:t>
        </w:r>
      </w:smartTag>
    </w:smartTag>
  </w:p>
  <w:p w14:paraId="4A297E01" w14:textId="77777777" w:rsidR="00553F35" w:rsidRDefault="00553F35">
    <w:pPr>
      <w:pStyle w:val="Header"/>
      <w:tabs>
        <w:tab w:val="clear" w:pos="4320"/>
        <w:tab w:val="clear" w:pos="8640"/>
      </w:tabs>
    </w:pPr>
    <w:r>
      <w:t xml:space="preserve">Project Name: </w:t>
    </w:r>
  </w:p>
  <w:p w14:paraId="34D3C89A" w14:textId="77777777" w:rsidR="00553F35" w:rsidRDefault="00553F35">
    <w:pPr>
      <w:pStyle w:val="Header"/>
      <w:tabs>
        <w:tab w:val="clear" w:pos="4320"/>
        <w:tab w:val="clear" w:pos="8640"/>
      </w:tabs>
    </w:pPr>
    <w:r>
      <w:t xml:space="preserve">SDPBC Project No.: </w:t>
    </w:r>
  </w:p>
  <w:p w14:paraId="3BC3866D" w14:textId="77777777" w:rsidR="00553F35" w:rsidRDefault="00553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5243"/>
    <w:multiLevelType w:val="multilevel"/>
    <w:tmpl w:val="9E9C77DE"/>
    <w:lvl w:ilvl="0">
      <w:start w:val="8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039D5845"/>
    <w:multiLevelType w:val="multilevel"/>
    <w:tmpl w:val="14AA091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06006CD5"/>
    <w:multiLevelType w:val="multilevel"/>
    <w:tmpl w:val="66D2EF4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07BC5E0C"/>
    <w:multiLevelType w:val="multilevel"/>
    <w:tmpl w:val="161A3DD2"/>
    <w:lvl w:ilvl="0">
      <w:start w:val="2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16D75D08"/>
    <w:multiLevelType w:val="multilevel"/>
    <w:tmpl w:val="6038BD20"/>
    <w:lvl w:ilvl="0">
      <w:start w:val="2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1E3E7A70"/>
    <w:multiLevelType w:val="hybridMultilevel"/>
    <w:tmpl w:val="83C21AC4"/>
    <w:lvl w:ilvl="0" w:tplc="24B2327E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 w15:restartNumberingAfterBreak="0">
    <w:nsid w:val="1EFC5048"/>
    <w:multiLevelType w:val="multilevel"/>
    <w:tmpl w:val="CC5EE15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7" w15:restartNumberingAfterBreak="0">
    <w:nsid w:val="1FDB45A5"/>
    <w:multiLevelType w:val="multilevel"/>
    <w:tmpl w:val="477CDBC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8" w15:restartNumberingAfterBreak="0">
    <w:nsid w:val="2CB72836"/>
    <w:multiLevelType w:val="multilevel"/>
    <w:tmpl w:val="C424119E"/>
    <w:lvl w:ilvl="0">
      <w:start w:val="7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9" w15:restartNumberingAfterBreak="0">
    <w:nsid w:val="2E645B92"/>
    <w:multiLevelType w:val="multilevel"/>
    <w:tmpl w:val="423C4A7E"/>
    <w:lvl w:ilvl="0">
      <w:start w:val="2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0" w15:restartNumberingAfterBreak="0">
    <w:nsid w:val="30376C63"/>
    <w:multiLevelType w:val="hybridMultilevel"/>
    <w:tmpl w:val="C0CCCC00"/>
    <w:lvl w:ilvl="0" w:tplc="305ECE9C">
      <w:start w:val="3"/>
      <w:numFmt w:val="upperLetter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abstractNum w:abstractNumId="11" w15:restartNumberingAfterBreak="0">
    <w:nsid w:val="30A619BA"/>
    <w:multiLevelType w:val="multilevel"/>
    <w:tmpl w:val="9ACC2838"/>
    <w:lvl w:ilvl="0">
      <w:start w:val="2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2" w15:restartNumberingAfterBreak="0">
    <w:nsid w:val="34E04634"/>
    <w:multiLevelType w:val="hybridMultilevel"/>
    <w:tmpl w:val="EC503FC2"/>
    <w:lvl w:ilvl="0" w:tplc="77789B6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3" w15:restartNumberingAfterBreak="0">
    <w:nsid w:val="362B3FBE"/>
    <w:multiLevelType w:val="multilevel"/>
    <w:tmpl w:val="63A2CAC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4" w15:restartNumberingAfterBreak="0">
    <w:nsid w:val="3758597F"/>
    <w:multiLevelType w:val="multilevel"/>
    <w:tmpl w:val="2DE86EA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5" w15:restartNumberingAfterBreak="0">
    <w:nsid w:val="37C8257C"/>
    <w:multiLevelType w:val="multilevel"/>
    <w:tmpl w:val="A066D092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6" w15:restartNumberingAfterBreak="0">
    <w:nsid w:val="37FB65F8"/>
    <w:multiLevelType w:val="multilevel"/>
    <w:tmpl w:val="E9BA4160"/>
    <w:lvl w:ilvl="0">
      <w:start w:val="7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7" w15:restartNumberingAfterBreak="0">
    <w:nsid w:val="3A7A17D6"/>
    <w:multiLevelType w:val="hybridMultilevel"/>
    <w:tmpl w:val="0DD40008"/>
    <w:lvl w:ilvl="0" w:tplc="F1166D5E">
      <w:start w:val="2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8" w15:restartNumberingAfterBreak="0">
    <w:nsid w:val="3DCF724C"/>
    <w:multiLevelType w:val="hybridMultilevel"/>
    <w:tmpl w:val="1936A424"/>
    <w:lvl w:ilvl="0" w:tplc="99C472F8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 w15:restartNumberingAfterBreak="0">
    <w:nsid w:val="4AEE3F92"/>
    <w:multiLevelType w:val="hybridMultilevel"/>
    <w:tmpl w:val="2D10301A"/>
    <w:lvl w:ilvl="0" w:tplc="E5848C92">
      <w:start w:val="3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 w15:restartNumberingAfterBreak="0">
    <w:nsid w:val="4D4D5260"/>
    <w:multiLevelType w:val="multilevel"/>
    <w:tmpl w:val="85E07582"/>
    <w:lvl w:ilvl="0">
      <w:start w:val="2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1" w15:restartNumberingAfterBreak="0">
    <w:nsid w:val="4F7169AF"/>
    <w:multiLevelType w:val="hybridMultilevel"/>
    <w:tmpl w:val="F4B8D578"/>
    <w:lvl w:ilvl="0" w:tplc="9AA8A9C4">
      <w:start w:val="3"/>
      <w:numFmt w:val="upperLetter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1A3CC08C">
      <w:start w:val="1"/>
      <w:numFmt w:val="decimal"/>
      <w:lvlText w:val="%2."/>
      <w:lvlJc w:val="left"/>
      <w:pPr>
        <w:tabs>
          <w:tab w:val="num" w:pos="2250"/>
        </w:tabs>
        <w:ind w:left="22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 w15:restartNumberingAfterBreak="0">
    <w:nsid w:val="52F72734"/>
    <w:multiLevelType w:val="multilevel"/>
    <w:tmpl w:val="8C040552"/>
    <w:lvl w:ilvl="0">
      <w:start w:val="2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3" w15:restartNumberingAfterBreak="0">
    <w:nsid w:val="5306433C"/>
    <w:multiLevelType w:val="hybridMultilevel"/>
    <w:tmpl w:val="BAC6F58C"/>
    <w:lvl w:ilvl="0" w:tplc="6B8A26D8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 w15:restartNumberingAfterBreak="0">
    <w:nsid w:val="5754678E"/>
    <w:multiLevelType w:val="multilevel"/>
    <w:tmpl w:val="DCCC41EE"/>
    <w:lvl w:ilvl="0">
      <w:start w:val="6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5" w15:restartNumberingAfterBreak="0">
    <w:nsid w:val="5F396430"/>
    <w:multiLevelType w:val="multilevel"/>
    <w:tmpl w:val="454841A4"/>
    <w:lvl w:ilvl="0">
      <w:start w:val="2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6" w15:restartNumberingAfterBreak="0">
    <w:nsid w:val="60642DF0"/>
    <w:multiLevelType w:val="multilevel"/>
    <w:tmpl w:val="554CA6FC"/>
    <w:lvl w:ilvl="0">
      <w:start w:val="2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7" w15:restartNumberingAfterBreak="0">
    <w:nsid w:val="6BA45018"/>
    <w:multiLevelType w:val="multilevel"/>
    <w:tmpl w:val="5D82C128"/>
    <w:lvl w:ilvl="0">
      <w:start w:val="2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8" w15:restartNumberingAfterBreak="0">
    <w:nsid w:val="6BA90AAB"/>
    <w:multiLevelType w:val="multilevel"/>
    <w:tmpl w:val="DEA29760"/>
    <w:lvl w:ilvl="0">
      <w:start w:val="2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9" w15:restartNumberingAfterBreak="0">
    <w:nsid w:val="73334A72"/>
    <w:multiLevelType w:val="hybridMultilevel"/>
    <w:tmpl w:val="21F4D210"/>
    <w:lvl w:ilvl="0" w:tplc="555E84D4">
      <w:start w:val="1"/>
      <w:numFmt w:val="upperLetter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num w:numId="1">
    <w:abstractNumId w:val="10"/>
  </w:num>
  <w:num w:numId="2">
    <w:abstractNumId w:val="19"/>
  </w:num>
  <w:num w:numId="3">
    <w:abstractNumId w:val="21"/>
  </w:num>
  <w:num w:numId="4">
    <w:abstractNumId w:val="17"/>
  </w:num>
  <w:num w:numId="5">
    <w:abstractNumId w:val="15"/>
  </w:num>
  <w:num w:numId="6">
    <w:abstractNumId w:val="29"/>
  </w:num>
  <w:num w:numId="7">
    <w:abstractNumId w:val="12"/>
  </w:num>
  <w:num w:numId="8">
    <w:abstractNumId w:val="18"/>
  </w:num>
  <w:num w:numId="9">
    <w:abstractNumId w:val="23"/>
  </w:num>
  <w:num w:numId="10">
    <w:abstractNumId w:val="5"/>
  </w:num>
  <w:num w:numId="11">
    <w:abstractNumId w:val="2"/>
  </w:num>
  <w:num w:numId="12">
    <w:abstractNumId w:val="1"/>
  </w:num>
  <w:num w:numId="13">
    <w:abstractNumId w:val="7"/>
  </w:num>
  <w:num w:numId="14">
    <w:abstractNumId w:val="22"/>
  </w:num>
  <w:num w:numId="15">
    <w:abstractNumId w:val="13"/>
  </w:num>
  <w:num w:numId="16">
    <w:abstractNumId w:val="14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24"/>
  </w:num>
  <w:num w:numId="22">
    <w:abstractNumId w:val="16"/>
  </w:num>
  <w:num w:numId="23">
    <w:abstractNumId w:val="27"/>
  </w:num>
  <w:num w:numId="24">
    <w:abstractNumId w:val="0"/>
  </w:num>
  <w:num w:numId="25">
    <w:abstractNumId w:val="28"/>
  </w:num>
  <w:num w:numId="26">
    <w:abstractNumId w:val="26"/>
  </w:num>
  <w:num w:numId="27">
    <w:abstractNumId w:val="20"/>
  </w:num>
  <w:num w:numId="28">
    <w:abstractNumId w:val="3"/>
  </w:num>
  <w:num w:numId="29">
    <w:abstractNumId w:val="1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A4"/>
    <w:rsid w:val="00003416"/>
    <w:rsid w:val="0000757F"/>
    <w:rsid w:val="0007526A"/>
    <w:rsid w:val="000F3044"/>
    <w:rsid w:val="0010269D"/>
    <w:rsid w:val="001242FA"/>
    <w:rsid w:val="00145F92"/>
    <w:rsid w:val="00160359"/>
    <w:rsid w:val="001608D9"/>
    <w:rsid w:val="001B09D2"/>
    <w:rsid w:val="001F3D01"/>
    <w:rsid w:val="001F6708"/>
    <w:rsid w:val="00221B57"/>
    <w:rsid w:val="002363C7"/>
    <w:rsid w:val="00297BE3"/>
    <w:rsid w:val="002C0E95"/>
    <w:rsid w:val="002F180D"/>
    <w:rsid w:val="00301875"/>
    <w:rsid w:val="003C2912"/>
    <w:rsid w:val="003E0527"/>
    <w:rsid w:val="00424BD7"/>
    <w:rsid w:val="00433EDF"/>
    <w:rsid w:val="00460513"/>
    <w:rsid w:val="005017D6"/>
    <w:rsid w:val="00511636"/>
    <w:rsid w:val="0054777F"/>
    <w:rsid w:val="00553F35"/>
    <w:rsid w:val="005759DE"/>
    <w:rsid w:val="005A7E1A"/>
    <w:rsid w:val="005B5684"/>
    <w:rsid w:val="0067783A"/>
    <w:rsid w:val="00681681"/>
    <w:rsid w:val="00697CB6"/>
    <w:rsid w:val="006F3AA5"/>
    <w:rsid w:val="00714F4C"/>
    <w:rsid w:val="007205EA"/>
    <w:rsid w:val="00767E96"/>
    <w:rsid w:val="007B2553"/>
    <w:rsid w:val="007B2F0F"/>
    <w:rsid w:val="007D04E0"/>
    <w:rsid w:val="007D1F40"/>
    <w:rsid w:val="008701A8"/>
    <w:rsid w:val="008A11F7"/>
    <w:rsid w:val="00906E76"/>
    <w:rsid w:val="00937D5B"/>
    <w:rsid w:val="00954B29"/>
    <w:rsid w:val="00964DFA"/>
    <w:rsid w:val="00972A46"/>
    <w:rsid w:val="00975612"/>
    <w:rsid w:val="009B5BA2"/>
    <w:rsid w:val="009C172A"/>
    <w:rsid w:val="009F530C"/>
    <w:rsid w:val="00A5693C"/>
    <w:rsid w:val="00A90294"/>
    <w:rsid w:val="00AD1BB0"/>
    <w:rsid w:val="00AF02A7"/>
    <w:rsid w:val="00B021CC"/>
    <w:rsid w:val="00BC1FE8"/>
    <w:rsid w:val="00BC4B68"/>
    <w:rsid w:val="00C02181"/>
    <w:rsid w:val="00C155C6"/>
    <w:rsid w:val="00C1664A"/>
    <w:rsid w:val="00C22ED6"/>
    <w:rsid w:val="00C83C21"/>
    <w:rsid w:val="00CB37C1"/>
    <w:rsid w:val="00CE5762"/>
    <w:rsid w:val="00D83131"/>
    <w:rsid w:val="00D96D96"/>
    <w:rsid w:val="00DD03A4"/>
    <w:rsid w:val="00E3771A"/>
    <w:rsid w:val="00E8427C"/>
    <w:rsid w:val="00E878EF"/>
    <w:rsid w:val="00E96C60"/>
    <w:rsid w:val="00EF181F"/>
    <w:rsid w:val="00F85ED8"/>
    <w:rsid w:val="00F94CF8"/>
    <w:rsid w:val="00FE2F02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62704A9"/>
  <w15:docId w15:val="{FBF5BB1A-C5E2-4A83-9153-018E21B3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theme="minorHAnsi"/>
        <w:snapToGrid w:val="0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1875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301875"/>
    <w:pPr>
      <w:keepNext/>
      <w:spacing w:line="215" w:lineRule="auto"/>
      <w:outlineLvl w:val="0"/>
    </w:pPr>
    <w:rPr>
      <w:rFonts w:ascii="Arial" w:hAnsi="Arial" w:cs="Arial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75612"/>
  </w:style>
  <w:style w:type="paragraph" w:styleId="Header">
    <w:name w:val="header"/>
    <w:basedOn w:val="Normal"/>
    <w:rsid w:val="009756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56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5612"/>
  </w:style>
  <w:style w:type="paragraph" w:styleId="BalloonText">
    <w:name w:val="Balloon Text"/>
    <w:basedOn w:val="Normal"/>
    <w:semiHidden/>
    <w:rsid w:val="00DD03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45F92"/>
    <w:rPr>
      <w:sz w:val="16"/>
      <w:szCs w:val="16"/>
    </w:rPr>
  </w:style>
  <w:style w:type="paragraph" w:styleId="CommentText">
    <w:name w:val="annotation text"/>
    <w:basedOn w:val="Normal"/>
    <w:semiHidden/>
    <w:rsid w:val="00145F92"/>
    <w:rPr>
      <w:sz w:val="20"/>
    </w:rPr>
  </w:style>
  <w:style w:type="paragraph" w:styleId="CommentSubject">
    <w:name w:val="annotation subject"/>
    <w:basedOn w:val="CommentText"/>
    <w:next w:val="CommentText"/>
    <w:semiHidden/>
    <w:rsid w:val="00145F92"/>
    <w:rPr>
      <w:b/>
      <w:bCs/>
    </w:rPr>
  </w:style>
  <w:style w:type="paragraph" w:styleId="Revision">
    <w:name w:val="Revision"/>
    <w:hidden/>
    <w:uiPriority w:val="99"/>
    <w:semiHidden/>
    <w:rsid w:val="00697CB6"/>
    <w:rPr>
      <w:sz w:val="24"/>
    </w:rPr>
  </w:style>
  <w:style w:type="character" w:customStyle="1" w:styleId="Heading1Char">
    <w:name w:val="Heading 1 Char"/>
    <w:link w:val="Heading1"/>
    <w:rsid w:val="00301875"/>
    <w:rPr>
      <w:rFonts w:ascii="Arial" w:hAnsi="Arial" w:cs="Arial"/>
      <w:bCs/>
      <w:u w:val="single"/>
    </w:rPr>
  </w:style>
  <w:style w:type="character" w:styleId="Emphasis">
    <w:name w:val="Emphasis"/>
    <w:qFormat/>
    <w:rsid w:val="00301875"/>
    <w:rPr>
      <w:i/>
      <w:iCs/>
    </w:rPr>
  </w:style>
  <w:style w:type="paragraph" w:styleId="NoSpacing">
    <w:name w:val="No Spacing"/>
    <w:link w:val="NoSpacingChar"/>
    <w:uiPriority w:val="1"/>
    <w:qFormat/>
    <w:rsid w:val="00301875"/>
    <w:pPr>
      <w:widowControl w:val="0"/>
    </w:pPr>
  </w:style>
  <w:style w:type="character" w:customStyle="1" w:styleId="NoSpacingChar">
    <w:name w:val="No Spacing Char"/>
    <w:link w:val="NoSpacing"/>
    <w:uiPriority w:val="1"/>
    <w:rsid w:val="00301875"/>
  </w:style>
  <w:style w:type="character" w:styleId="SubtleEmphasis">
    <w:name w:val="Subtle Emphasis"/>
    <w:uiPriority w:val="19"/>
    <w:qFormat/>
    <w:rsid w:val="0030187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E169F-E91D-4D6E-B513-B864E196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846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 12 16</vt:lpstr>
    </vt:vector>
  </TitlesOfParts>
  <Company>SDPBC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ASPHALT PAVING</dc:title>
  <dc:subject/>
  <dc:creator>SDPBC;PAJ</dc:creator>
  <cp:keywords/>
  <dc:description/>
  <cp:lastModifiedBy>Terry Summerell</cp:lastModifiedBy>
  <cp:revision>21</cp:revision>
  <cp:lastPrinted>2022-12-06T18:54:00Z</cp:lastPrinted>
  <dcterms:created xsi:type="dcterms:W3CDTF">2019-10-25T11:46:00Z</dcterms:created>
  <dcterms:modified xsi:type="dcterms:W3CDTF">2023-03-15T18:26:00Z</dcterms:modified>
</cp:coreProperties>
</file>