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395" w:type="dxa"/>
        <w:tblLook w:val="04A0" w:firstRow="1" w:lastRow="0" w:firstColumn="1" w:lastColumn="0" w:noHBand="0" w:noVBand="1"/>
      </w:tblPr>
      <w:tblGrid>
        <w:gridCol w:w="6475"/>
        <w:gridCol w:w="7920"/>
      </w:tblGrid>
      <w:tr w:rsidR="007D4EF9" w:rsidTr="00BB6AFB">
        <w:tc>
          <w:tcPr>
            <w:tcW w:w="6475" w:type="dxa"/>
          </w:tcPr>
          <w:p w:rsidR="007D4EF9" w:rsidRPr="00C837DC" w:rsidRDefault="007D4EF9" w:rsidP="00BB6AFB">
            <w:pPr>
              <w:rPr>
                <w:i/>
                <w:sz w:val="24"/>
              </w:rPr>
            </w:pPr>
            <w:r w:rsidRPr="002F1426">
              <w:rPr>
                <w:b/>
              </w:rPr>
              <w:t>Unit (Name/Number):</w:t>
            </w:r>
            <w:r>
              <w:rPr>
                <w:b/>
              </w:rPr>
              <w:t xml:space="preserve"> </w:t>
            </w:r>
            <w:r>
              <w:t>Reconstruction: Origin</w:t>
            </w:r>
          </w:p>
          <w:p w:rsidR="007D4EF9" w:rsidRPr="002F1426" w:rsidRDefault="007D4EF9" w:rsidP="00BB6AFB">
            <w:pPr>
              <w:rPr>
                <w:b/>
              </w:rPr>
            </w:pPr>
          </w:p>
        </w:tc>
        <w:tc>
          <w:tcPr>
            <w:tcW w:w="7920" w:type="dxa"/>
          </w:tcPr>
          <w:p w:rsidR="007D4EF9" w:rsidRPr="00C837DC" w:rsidRDefault="007D4EF9" w:rsidP="00BB6AFB">
            <w:r w:rsidRPr="002F1426">
              <w:rPr>
                <w:b/>
              </w:rPr>
              <w:t>Pacing:</w:t>
            </w:r>
            <w:r>
              <w:rPr>
                <w:b/>
              </w:rPr>
              <w:t xml:space="preserve"> </w:t>
            </w:r>
            <w:r>
              <w:t>One Week</w:t>
            </w:r>
          </w:p>
          <w:p w:rsidR="007D4EF9" w:rsidRDefault="007D4EF9" w:rsidP="00BB6AFB"/>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7D4EF9" w:rsidTr="00BB6AFB">
        <w:tc>
          <w:tcPr>
            <w:tcW w:w="14395" w:type="dxa"/>
          </w:tcPr>
          <w:p w:rsidR="007D4EF9" w:rsidRDefault="007D4EF9" w:rsidP="00BB6AFB">
            <w:pPr>
              <w:pStyle w:val="ListParagraph"/>
              <w:ind w:left="360"/>
              <w:rPr>
                <w:rFonts w:cstheme="minorHAnsi"/>
              </w:rPr>
            </w:pPr>
            <w:r w:rsidRPr="002F1426">
              <w:rPr>
                <w:b/>
              </w:rPr>
              <w:t>Essential Question(s):</w:t>
            </w:r>
            <w:r>
              <w:rPr>
                <w:b/>
              </w:rPr>
              <w:t xml:space="preserve"> </w:t>
            </w:r>
            <w:r w:rsidRPr="00BE53BF">
              <w:rPr>
                <w:rFonts w:ascii="Arial" w:eastAsia="Times New Roman" w:hAnsi="Arial" w:cs="Times New Roman"/>
                <w:sz w:val="24"/>
                <w:szCs w:val="20"/>
              </w:rPr>
              <w:t xml:space="preserve"> </w:t>
            </w:r>
            <w:r w:rsidRPr="00C06C8A">
              <w:t xml:space="preserve"> </w:t>
            </w:r>
            <w:r w:rsidRPr="00B56326">
              <w:rPr>
                <w:rFonts w:cstheme="minorHAnsi"/>
              </w:rPr>
              <w:t xml:space="preserve"> </w:t>
            </w:r>
          </w:p>
          <w:p w:rsidR="007D4EF9" w:rsidRDefault="007D4EF9" w:rsidP="007D4EF9">
            <w:pPr>
              <w:pStyle w:val="ListParagraph"/>
              <w:numPr>
                <w:ilvl w:val="0"/>
                <w:numId w:val="2"/>
              </w:numPr>
              <w:rPr>
                <w:rFonts w:cstheme="minorHAnsi"/>
              </w:rPr>
            </w:pPr>
            <w:r w:rsidRPr="007C6C17">
              <w:rPr>
                <w:rFonts w:cstheme="minorHAnsi"/>
              </w:rPr>
              <w:t>UEQ:</w:t>
            </w:r>
            <w:r>
              <w:t xml:space="preserve"> </w:t>
            </w:r>
            <w:r w:rsidRPr="007C6C17">
              <w:rPr>
                <w:rFonts w:cstheme="minorHAnsi"/>
              </w:rPr>
              <w:t>How can the P.R.E.S.T.I.G.E. paradigm be used to study Reconstruction?</w:t>
            </w:r>
          </w:p>
          <w:p w:rsidR="007D4EF9" w:rsidRPr="007C6C17" w:rsidRDefault="007D4EF9" w:rsidP="007D4EF9">
            <w:pPr>
              <w:pStyle w:val="ListParagraph"/>
              <w:numPr>
                <w:ilvl w:val="0"/>
                <w:numId w:val="2"/>
              </w:numPr>
              <w:rPr>
                <w:rFonts w:cstheme="minorHAnsi"/>
              </w:rPr>
            </w:pPr>
            <w:r>
              <w:t>UEQ: What is a broad overview of Reconstruction?</w:t>
            </w:r>
          </w:p>
          <w:p w:rsidR="007D4EF9" w:rsidRDefault="007D4EF9" w:rsidP="007D4EF9">
            <w:pPr>
              <w:pStyle w:val="ListParagraph"/>
              <w:numPr>
                <w:ilvl w:val="0"/>
                <w:numId w:val="2"/>
              </w:numPr>
            </w:pPr>
            <w:r>
              <w:t xml:space="preserve">LEQ: What is the origin of Reconstruction? </w:t>
            </w:r>
          </w:p>
        </w:tc>
      </w:tr>
    </w:tbl>
    <w:p w:rsidR="007D4EF9" w:rsidRDefault="007D4EF9" w:rsidP="007D4EF9"/>
    <w:tbl>
      <w:tblPr>
        <w:tblStyle w:val="TableGrid"/>
        <w:tblW w:w="14395" w:type="dxa"/>
        <w:tblLook w:val="04A0" w:firstRow="1" w:lastRow="0" w:firstColumn="1" w:lastColumn="0" w:noHBand="0" w:noVBand="1"/>
      </w:tblPr>
      <w:tblGrid>
        <w:gridCol w:w="2785"/>
        <w:gridCol w:w="1890"/>
        <w:gridCol w:w="3420"/>
        <w:gridCol w:w="3420"/>
        <w:gridCol w:w="2880"/>
      </w:tblGrid>
      <w:tr w:rsidR="007D4EF9" w:rsidTr="00BB6AFB">
        <w:tc>
          <w:tcPr>
            <w:tcW w:w="2785" w:type="dxa"/>
            <w:vAlign w:val="center"/>
          </w:tcPr>
          <w:p w:rsidR="007D4EF9" w:rsidRPr="002F1426" w:rsidRDefault="007D4EF9" w:rsidP="00BB6AFB">
            <w:pPr>
              <w:jc w:val="center"/>
              <w:rPr>
                <w:b/>
              </w:rPr>
            </w:pPr>
            <w:r w:rsidRPr="002F1426">
              <w:rPr>
                <w:b/>
              </w:rPr>
              <w:t>Content/Key Concepts</w:t>
            </w:r>
          </w:p>
        </w:tc>
        <w:tc>
          <w:tcPr>
            <w:tcW w:w="1890" w:type="dxa"/>
            <w:vAlign w:val="center"/>
          </w:tcPr>
          <w:p w:rsidR="007D4EF9" w:rsidRPr="002F1426" w:rsidRDefault="007D4EF9" w:rsidP="00BB6AFB">
            <w:pPr>
              <w:jc w:val="center"/>
              <w:rPr>
                <w:b/>
              </w:rPr>
            </w:pPr>
            <w:r w:rsidRPr="002F1426">
              <w:rPr>
                <w:b/>
              </w:rPr>
              <w:t>Standards</w:t>
            </w:r>
          </w:p>
        </w:tc>
        <w:tc>
          <w:tcPr>
            <w:tcW w:w="3420" w:type="dxa"/>
            <w:vAlign w:val="center"/>
          </w:tcPr>
          <w:p w:rsidR="007D4EF9" w:rsidRPr="002F1426" w:rsidRDefault="007D4EF9" w:rsidP="00BB6AFB">
            <w:pPr>
              <w:jc w:val="center"/>
              <w:rPr>
                <w:b/>
              </w:rPr>
            </w:pPr>
            <w:r w:rsidRPr="002F1426">
              <w:rPr>
                <w:b/>
              </w:rPr>
              <w:t>Key Vocabulary</w:t>
            </w:r>
          </w:p>
        </w:tc>
        <w:tc>
          <w:tcPr>
            <w:tcW w:w="3420" w:type="dxa"/>
            <w:vAlign w:val="center"/>
          </w:tcPr>
          <w:p w:rsidR="007D4EF9" w:rsidRPr="002F1426" w:rsidRDefault="007D4EF9" w:rsidP="00BB6AFB">
            <w:pPr>
              <w:jc w:val="center"/>
              <w:rPr>
                <w:b/>
              </w:rPr>
            </w:pPr>
            <w:r>
              <w:rPr>
                <w:b/>
              </w:rPr>
              <w:t xml:space="preserve">Learning </w:t>
            </w:r>
            <w:r w:rsidRPr="002F1426">
              <w:rPr>
                <w:b/>
              </w:rPr>
              <w:t>Activities/Resources</w:t>
            </w:r>
          </w:p>
        </w:tc>
        <w:tc>
          <w:tcPr>
            <w:tcW w:w="2880" w:type="dxa"/>
            <w:vAlign w:val="center"/>
          </w:tcPr>
          <w:p w:rsidR="007D4EF9" w:rsidRDefault="007D4EF9" w:rsidP="00BB6AFB">
            <w:pPr>
              <w:jc w:val="center"/>
              <w:rPr>
                <w:b/>
              </w:rPr>
            </w:pPr>
            <w:r>
              <w:rPr>
                <w:b/>
              </w:rPr>
              <w:t>Evidence of Learning</w:t>
            </w:r>
          </w:p>
          <w:p w:rsidR="007D4EF9" w:rsidRPr="00DB305D" w:rsidRDefault="007D4EF9" w:rsidP="00BB6AFB">
            <w:pPr>
              <w:spacing w:after="120"/>
              <w:jc w:val="center"/>
              <w:rPr>
                <w:sz w:val="18"/>
              </w:rPr>
            </w:pPr>
            <w:r w:rsidRPr="002F1966">
              <w:rPr>
                <w:sz w:val="18"/>
              </w:rPr>
              <w:t>(Assessments;</w:t>
            </w:r>
            <w:r>
              <w:rPr>
                <w:sz w:val="18"/>
              </w:rPr>
              <w:t xml:space="preserve"> </w:t>
            </w:r>
            <w:r w:rsidRPr="002F1966">
              <w:rPr>
                <w:sz w:val="18"/>
              </w:rPr>
              <w:t>Performance Tasks)</w:t>
            </w:r>
          </w:p>
        </w:tc>
      </w:tr>
    </w:tbl>
    <w:p w:rsidR="007D4EF9" w:rsidRPr="001951E8" w:rsidRDefault="007D4EF9" w:rsidP="007D4EF9">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7D4EF9" w:rsidTr="00BB6AFB">
        <w:tc>
          <w:tcPr>
            <w:tcW w:w="2785" w:type="dxa"/>
            <w:vAlign w:val="center"/>
          </w:tcPr>
          <w:p w:rsidR="007D4EF9" w:rsidRPr="00DE5063" w:rsidRDefault="007D4EF9" w:rsidP="00BB6AFB">
            <w:pPr>
              <w:jc w:val="center"/>
            </w:pPr>
            <w:r>
              <w:t xml:space="preserve">Reconstruction: P.R.E.S.T.I.G.E. &amp; Overview  </w:t>
            </w:r>
          </w:p>
        </w:tc>
        <w:tc>
          <w:tcPr>
            <w:tcW w:w="1890" w:type="dxa"/>
            <w:vAlign w:val="center"/>
          </w:tcPr>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CC.8.5.11-12.A Standard - CC.8.5.11-12.E Standard - CC.8.5.11-12.F Standard - CC.8.5.11-12.G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CC.8.5.11-12.H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CC.8.5.11-12.I Standard - CC.8.6.11-12.A Standard - CC.8.6.11-12.B Standard - CC.8.6.11-12.C Standard - CC.8.6.11-12.D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CC.8.6.11-12.F Standard - CC.8.6.11-12.G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CC.8.6.11-12.H Standard - 5.1.12.B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- 5.1.12.C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- 5.1.U.D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- 5.1.U.F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- 5.2.12.B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- 5.2.C.A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- 5.3.12.D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- 5.3.12.H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- 5.4.12.A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- 5.4.C.A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- 6.3.U.B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- 6.3.U.B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- 6.3.U.B S</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- 8.1.C.B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- 8.3.12.A</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- 8.3.12.A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- 8.3.12.C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- 8.3.12.D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- 8.3.C.B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lastRenderedPageBreak/>
              <w:t xml:space="preserve">Standard - 8.3.U.B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- 8.3.U.C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- 8.3.U.D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- 8.4.12.A </w:t>
            </w:r>
          </w:p>
          <w:p w:rsidR="007D4EF9" w:rsidRDefault="007D4EF9"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- 8.4.12.B</w:t>
            </w:r>
          </w:p>
          <w:p w:rsidR="007D4EF9" w:rsidRPr="00A73EB8" w:rsidRDefault="007D4EF9" w:rsidP="00BB6AFB">
            <w:pPr>
              <w:jc w:val="center"/>
            </w:pPr>
            <w:r>
              <w:rPr>
                <w:rFonts w:cstheme="minorHAnsi"/>
                <w:color w:val="082A3D"/>
                <w:sz w:val="16"/>
                <w:szCs w:val="16"/>
                <w:shd w:val="clear" w:color="auto" w:fill="FFFFFF"/>
              </w:rPr>
              <w:t>Standard - 8.4.12.C</w:t>
            </w:r>
          </w:p>
        </w:tc>
        <w:tc>
          <w:tcPr>
            <w:tcW w:w="3420" w:type="dxa"/>
            <w:vAlign w:val="center"/>
          </w:tcPr>
          <w:p w:rsidR="007D4EF9" w:rsidRPr="00A73EB8" w:rsidRDefault="007D4EF9" w:rsidP="007D4EF9">
            <w:pPr>
              <w:pStyle w:val="ListParagraph"/>
              <w:numPr>
                <w:ilvl w:val="0"/>
                <w:numId w:val="1"/>
              </w:numPr>
              <w:ind w:left="360"/>
              <w:jc w:val="center"/>
            </w:pPr>
            <w:r>
              <w:lastRenderedPageBreak/>
              <w:t>Authority, Power, Rights, Checks and Balances, End of Civil War, 13</w:t>
            </w:r>
            <w:r w:rsidRPr="00B752A9">
              <w:rPr>
                <w:vertAlign w:val="superscript"/>
              </w:rPr>
              <w:t>th</w:t>
            </w:r>
            <w:r>
              <w:t>, 14</w:t>
            </w:r>
            <w:r w:rsidRPr="00B752A9">
              <w:rPr>
                <w:vertAlign w:val="superscript"/>
              </w:rPr>
              <w:t>th</w:t>
            </w:r>
            <w:r>
              <w:t>, and 15</w:t>
            </w:r>
            <w:r w:rsidRPr="00B752A9">
              <w:rPr>
                <w:vertAlign w:val="superscript"/>
              </w:rPr>
              <w:t>th</w:t>
            </w:r>
            <w:r>
              <w:t xml:space="preserve"> Amendment, Lincoln’s Plan, Johnson’s Plan, Radical Republicans, Radical Reconstruction, Military Districts, Military Governors, Occupation, Grandfather Clause, Secret Ballot, Presidential Pardons, Intimidation, KKK, Terrorism, Carpet Baggers, Scalawags, Freedman’s Bureau, Tenet Farmers, Sharecropping, Exodus, Lynching, Senator Hiram Revels, African American (Black/Colored) politicians, Thomas Nast (political cartoons)</w:t>
            </w:r>
          </w:p>
        </w:tc>
        <w:tc>
          <w:tcPr>
            <w:tcW w:w="3420" w:type="dxa"/>
            <w:vAlign w:val="center"/>
          </w:tcPr>
          <w:p w:rsidR="007D4EF9" w:rsidRPr="00DD7038" w:rsidRDefault="007D4EF9" w:rsidP="00BB6AFB">
            <w:pPr>
              <w:jc w:val="center"/>
              <w:rPr>
                <w:rFonts w:ascii="Calibri" w:hAnsi="Calibri" w:cs="Calibri"/>
                <w:color w:val="000000"/>
                <w:shd w:val="clear" w:color="auto" w:fill="FFFFFF"/>
              </w:rPr>
            </w:pPr>
            <w:r>
              <w:rPr>
                <w:rStyle w:val="normaltextrun"/>
                <w:rFonts w:ascii="Calibri" w:hAnsi="Calibri" w:cs="Calibri"/>
                <w:color w:val="000000"/>
                <w:shd w:val="clear" w:color="auto" w:fill="FFFFFF"/>
              </w:rPr>
              <w:t xml:space="preserve">Lecture, Guided Notes, Chart, Maps, Readings, Discussions, Film/Video/Pictures, Timeline, Political Cartoons, Songs, Art, Artifacts (digital, physical), US Army Heritage and Education Center, Government Reports and Sites, Military History Books and Articles, Memoirs/Oral Histories (Veteran, Slaves, Civilian), Experts/Speakers (US Army War College Speakers Bureau), </w:t>
            </w:r>
            <w:hyperlink r:id="rId5" w:tgtFrame="_blank" w:history="1">
              <w:r>
                <w:rPr>
                  <w:rStyle w:val="normaltextrun"/>
                  <w:rFonts w:ascii="Calibri" w:hAnsi="Calibri" w:cs="Calibri"/>
                  <w:color w:val="0563C1"/>
                  <w:shd w:val="clear" w:color="auto" w:fill="FFFFFF"/>
                </w:rPr>
                <w:t>USAHEC Perspectives in Military History Lecture Series</w:t>
              </w:r>
            </w:hyperlink>
            <w:r>
              <w:rPr>
                <w:rStyle w:val="normaltextrun"/>
                <w:rFonts w:ascii="Calibri" w:hAnsi="Calibri" w:cs="Calibri"/>
                <w:color w:val="000000"/>
                <w:shd w:val="clear" w:color="auto" w:fill="FFFFFF"/>
              </w:rPr>
              <w:t xml:space="preserve">, Clips of DW Griffith’s film </w:t>
            </w:r>
            <w:r w:rsidRPr="00DD7038">
              <w:rPr>
                <w:rStyle w:val="normaltextrun"/>
                <w:rFonts w:ascii="Calibri" w:hAnsi="Calibri" w:cs="Calibri"/>
                <w:i/>
                <w:color w:val="000000"/>
                <w:shd w:val="clear" w:color="auto" w:fill="FFFFFF"/>
              </w:rPr>
              <w:t>Birth of a Nation</w:t>
            </w:r>
            <w:r>
              <w:rPr>
                <w:rStyle w:val="normaltextrun"/>
                <w:rFonts w:ascii="Calibri" w:hAnsi="Calibri" w:cs="Calibri"/>
                <w:color w:val="000000"/>
                <w:shd w:val="clear" w:color="auto" w:fill="FFFFFF"/>
              </w:rPr>
              <w:t xml:space="preserve">, Excerpts of </w:t>
            </w:r>
            <w:r w:rsidRPr="00BF36EC">
              <w:rPr>
                <w:rStyle w:val="normaltextrun"/>
                <w:rFonts w:ascii="Calibri" w:hAnsi="Calibri" w:cs="Calibri"/>
                <w:i/>
                <w:color w:val="000000"/>
                <w:shd w:val="clear" w:color="auto" w:fill="FFFFFF"/>
              </w:rPr>
              <w:t>Harper’s Weekly</w:t>
            </w:r>
            <w:r>
              <w:rPr>
                <w:rStyle w:val="normaltextrun"/>
                <w:rFonts w:ascii="Calibri" w:hAnsi="Calibri" w:cs="Calibri"/>
                <w:color w:val="000000"/>
                <w:shd w:val="clear" w:color="auto" w:fill="FFFFFF"/>
              </w:rPr>
              <w:t xml:space="preserve">, </w:t>
            </w:r>
            <w:r w:rsidRPr="006D6232">
              <w:rPr>
                <w:rStyle w:val="normaltextrun"/>
                <w:rFonts w:ascii="Calibri" w:hAnsi="Calibri" w:cs="Calibri"/>
                <w:iCs/>
                <w:color w:val="000000"/>
                <w:shd w:val="clear" w:color="auto" w:fill="FFFFFF"/>
              </w:rPr>
              <w:t xml:space="preserve">McPherson’s </w:t>
            </w:r>
            <w:r>
              <w:rPr>
                <w:rStyle w:val="normaltextrun"/>
                <w:rFonts w:ascii="Calibri" w:hAnsi="Calibri" w:cs="Calibri"/>
                <w:i/>
                <w:iCs/>
                <w:color w:val="000000"/>
                <w:shd w:val="clear" w:color="auto" w:fill="FFFFFF"/>
              </w:rPr>
              <w:t xml:space="preserve">Battle Cry of Freedom, Ordeal by Fire, </w:t>
            </w:r>
            <w:r>
              <w:rPr>
                <w:rStyle w:val="normaltextrun"/>
                <w:rFonts w:ascii="Calibri" w:hAnsi="Calibri" w:cs="Calibri"/>
                <w:iCs/>
                <w:color w:val="000000"/>
                <w:shd w:val="clear" w:color="auto" w:fill="FFFFFF"/>
              </w:rPr>
              <w:t xml:space="preserve">and </w:t>
            </w:r>
            <w:r>
              <w:rPr>
                <w:rStyle w:val="normaltextrun"/>
                <w:rFonts w:ascii="Calibri" w:hAnsi="Calibri" w:cs="Calibri"/>
                <w:i/>
                <w:iCs/>
                <w:color w:val="000000"/>
                <w:shd w:val="clear" w:color="auto" w:fill="FFFFFF"/>
              </w:rPr>
              <w:t xml:space="preserve">The War That Forged A Nation, </w:t>
            </w:r>
            <w:r w:rsidRPr="00F57B56">
              <w:rPr>
                <w:rStyle w:val="normaltextrun"/>
                <w:rFonts w:ascii="Calibri" w:hAnsi="Calibri" w:cs="Calibri"/>
                <w:iCs/>
                <w:color w:val="000000"/>
                <w:shd w:val="clear" w:color="auto" w:fill="FFFFFF"/>
              </w:rPr>
              <w:t xml:space="preserve">and </w:t>
            </w:r>
            <w:proofErr w:type="spellStart"/>
            <w:r w:rsidRPr="00F57B56">
              <w:rPr>
                <w:rStyle w:val="normaltextrun"/>
                <w:rFonts w:ascii="Calibri" w:hAnsi="Calibri" w:cs="Calibri"/>
                <w:iCs/>
                <w:color w:val="000000"/>
                <w:shd w:val="clear" w:color="auto" w:fill="FFFFFF"/>
              </w:rPr>
              <w:t>Foner’s</w:t>
            </w:r>
            <w:proofErr w:type="spellEnd"/>
            <w:r>
              <w:rPr>
                <w:rStyle w:val="normaltextrun"/>
                <w:rFonts w:ascii="Calibri" w:hAnsi="Calibri" w:cs="Calibri"/>
                <w:i/>
                <w:iCs/>
                <w:color w:val="000000"/>
                <w:shd w:val="clear" w:color="auto" w:fill="FFFFFF"/>
              </w:rPr>
              <w:t xml:space="preserve"> A Short History of Reconstruction</w:t>
            </w:r>
          </w:p>
        </w:tc>
        <w:tc>
          <w:tcPr>
            <w:tcW w:w="2880" w:type="dxa"/>
            <w:vAlign w:val="center"/>
          </w:tcPr>
          <w:p w:rsidR="007D4EF9" w:rsidRPr="00DB305D" w:rsidRDefault="007D4EF9" w:rsidP="00BB6AFB">
            <w:pPr>
              <w:spacing w:after="120"/>
              <w:jc w:val="center"/>
              <w:rPr>
                <w:sz w:val="18"/>
              </w:rPr>
            </w:pPr>
            <w:r w:rsidRPr="007D651D">
              <w:rPr>
                <w:rFonts w:cstheme="minorHAnsi"/>
              </w:rPr>
              <w:t>C</w:t>
            </w:r>
            <w:r>
              <w:rPr>
                <w:rFonts w:cstheme="minorHAnsi"/>
              </w:rPr>
              <w:t>hart, Maps, Discussions, Class W</w:t>
            </w:r>
            <w:r w:rsidRPr="007D651D">
              <w:rPr>
                <w:rFonts w:cstheme="minorHAnsi"/>
              </w:rPr>
              <w:t xml:space="preserve">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w:t>
            </w:r>
            <w:r>
              <w:rPr>
                <w:rFonts w:cstheme="minorHAnsi"/>
              </w:rPr>
              <w:t>s</w:t>
            </w:r>
            <w:r w:rsidRPr="007D651D">
              <w:rPr>
                <w:rFonts w:cstheme="minorHAnsi"/>
              </w:rPr>
              <w:t>, Research Essay</w:t>
            </w:r>
            <w:r>
              <w:rPr>
                <w:rFonts w:cstheme="minorHAnsi"/>
              </w:rPr>
              <w:t>, Book Review, Reaction Essay</w:t>
            </w:r>
          </w:p>
        </w:tc>
      </w:tr>
    </w:tbl>
    <w:p w:rsidR="007D4EF9" w:rsidRPr="001951E8" w:rsidRDefault="007D4EF9" w:rsidP="007D4EF9">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7D4EF9" w:rsidTr="00BB6AFB">
        <w:tc>
          <w:tcPr>
            <w:tcW w:w="2785" w:type="dxa"/>
            <w:vAlign w:val="center"/>
          </w:tcPr>
          <w:p w:rsidR="007D4EF9" w:rsidRPr="00DE5063" w:rsidRDefault="007D4EF9" w:rsidP="00BB6AFB">
            <w:pPr>
              <w:jc w:val="center"/>
            </w:pPr>
            <w:r>
              <w:t>Reconstruction: Origin</w:t>
            </w:r>
          </w:p>
        </w:tc>
        <w:tc>
          <w:tcPr>
            <w:tcW w:w="1890" w:type="dxa"/>
            <w:vAlign w:val="center"/>
          </w:tcPr>
          <w:p w:rsidR="007D4EF9" w:rsidRPr="00A73EB8" w:rsidRDefault="007D4EF9" w:rsidP="00BB6AFB">
            <w:pPr>
              <w:jc w:val="center"/>
            </w:pPr>
            <w:r>
              <w:t>See Above.</w:t>
            </w:r>
          </w:p>
        </w:tc>
        <w:tc>
          <w:tcPr>
            <w:tcW w:w="3420" w:type="dxa"/>
            <w:vAlign w:val="center"/>
          </w:tcPr>
          <w:p w:rsidR="007D4EF9" w:rsidRPr="00A73EB8" w:rsidRDefault="007D4EF9" w:rsidP="007D4EF9">
            <w:pPr>
              <w:pStyle w:val="ListParagraph"/>
              <w:numPr>
                <w:ilvl w:val="0"/>
                <w:numId w:val="1"/>
              </w:numPr>
              <w:ind w:left="360"/>
            </w:pPr>
            <w:r>
              <w:t>End of Civil War, 13</w:t>
            </w:r>
            <w:r w:rsidRPr="00B752A9">
              <w:rPr>
                <w:vertAlign w:val="superscript"/>
              </w:rPr>
              <w:t>th</w:t>
            </w:r>
            <w:r>
              <w:t>, 14</w:t>
            </w:r>
            <w:r w:rsidRPr="00B752A9">
              <w:rPr>
                <w:vertAlign w:val="superscript"/>
              </w:rPr>
              <w:t>th</w:t>
            </w:r>
            <w:r>
              <w:t>, and 15</w:t>
            </w:r>
            <w:r w:rsidRPr="00B752A9">
              <w:rPr>
                <w:vertAlign w:val="superscript"/>
              </w:rPr>
              <w:t>th</w:t>
            </w:r>
            <w:r>
              <w:t xml:space="preserve"> Amendment, Lincoln’s Plan, Johnson’s Plan, Radical Republicans, Radical Reconstruction</w:t>
            </w:r>
          </w:p>
        </w:tc>
        <w:tc>
          <w:tcPr>
            <w:tcW w:w="3420" w:type="dxa"/>
            <w:vAlign w:val="center"/>
          </w:tcPr>
          <w:p w:rsidR="007D4EF9" w:rsidRPr="002F1426" w:rsidRDefault="007D4EF9" w:rsidP="00BB6AFB">
            <w:pPr>
              <w:jc w:val="center"/>
              <w:rPr>
                <w:b/>
              </w:rPr>
            </w:pPr>
            <w:r w:rsidRPr="00F57B56">
              <w:t>See Above.</w:t>
            </w:r>
          </w:p>
        </w:tc>
        <w:tc>
          <w:tcPr>
            <w:tcW w:w="2880" w:type="dxa"/>
            <w:vAlign w:val="center"/>
          </w:tcPr>
          <w:p w:rsidR="007D4EF9" w:rsidRPr="00DB305D" w:rsidRDefault="007D4EF9" w:rsidP="00BB6AFB">
            <w:pPr>
              <w:spacing w:after="120"/>
              <w:jc w:val="center"/>
              <w:rPr>
                <w:sz w:val="18"/>
              </w:rPr>
            </w:pPr>
            <w:r w:rsidRPr="007D651D">
              <w:rPr>
                <w:rFonts w:cstheme="minorHAnsi"/>
              </w:rPr>
              <w:t>C</w:t>
            </w:r>
            <w:r>
              <w:rPr>
                <w:rFonts w:cstheme="minorHAnsi"/>
              </w:rPr>
              <w:t>hart, Maps, Discussions, Class W</w:t>
            </w:r>
            <w:r w:rsidRPr="007D651D">
              <w:rPr>
                <w:rFonts w:cstheme="minorHAnsi"/>
              </w:rPr>
              <w:t xml:space="preserve">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w:t>
            </w:r>
            <w:r>
              <w:rPr>
                <w:rFonts w:cstheme="minorHAnsi"/>
              </w:rPr>
              <w:t>s</w:t>
            </w:r>
            <w:r w:rsidRPr="007D651D">
              <w:rPr>
                <w:rFonts w:cstheme="minorHAnsi"/>
              </w:rPr>
              <w:t>, Research Essay</w:t>
            </w:r>
            <w:r>
              <w:rPr>
                <w:rFonts w:cstheme="minorHAnsi"/>
              </w:rPr>
              <w:t>, Book Review, Reaction Essay</w:t>
            </w:r>
          </w:p>
        </w:tc>
      </w:tr>
    </w:tbl>
    <w:p w:rsidR="007D4EF9" w:rsidRPr="001951E8" w:rsidRDefault="007D4EF9" w:rsidP="007D4EF9">
      <w:pPr>
        <w:spacing w:after="0"/>
        <w:rPr>
          <w:sz w:val="4"/>
        </w:rPr>
      </w:pPr>
    </w:p>
    <w:p w:rsidR="007D4EF9" w:rsidRDefault="007D4EF9" w:rsidP="007D4EF9">
      <w:pPr>
        <w:spacing w:after="0"/>
        <w:rPr>
          <w:sz w:val="4"/>
          <w:szCs w:val="4"/>
        </w:rPr>
      </w:pPr>
    </w:p>
    <w:p w:rsidR="00927929" w:rsidRDefault="00927929">
      <w:bookmarkStart w:id="0" w:name="_GoBack"/>
      <w:bookmarkEnd w:id="0"/>
    </w:p>
    <w:sectPr w:rsidR="00927929" w:rsidSect="007D4EF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DC01F4"/>
    <w:multiLevelType w:val="hybridMultilevel"/>
    <w:tmpl w:val="83B67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EF9"/>
    <w:rsid w:val="007D4EF9"/>
    <w:rsid w:val="0092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B77784-CA61-4559-A754-497C3E29F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E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4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EF9"/>
    <w:pPr>
      <w:ind w:left="720"/>
      <w:contextualSpacing/>
    </w:pPr>
  </w:style>
  <w:style w:type="character" w:customStyle="1" w:styleId="normaltextrun">
    <w:name w:val="normaltextrun"/>
    <w:basedOn w:val="DefaultParagraphFont"/>
    <w:rsid w:val="007D4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hec.armywarcollege.edu/lectures.cf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Lower Dauphin School District</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Chortanoff, Steff</dc:creator>
  <cp:keywords/>
  <dc:description/>
  <cp:lastModifiedBy>Chortanoff, Steff</cp:lastModifiedBy>
  <cp:revision>1</cp:revision>
  <dcterms:created xsi:type="dcterms:W3CDTF">2017-10-13T16:21:00Z</dcterms:created>
  <dcterms:modified xsi:type="dcterms:W3CDTF">2017-10-13T16:21:00Z</dcterms:modified>
</cp:coreProperties>
</file>