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b w:val="1"/>
          <w:sz w:val="26"/>
          <w:szCs w:val="26"/>
        </w:rPr>
      </w:pPr>
      <w:r w:rsidDel="00000000" w:rsidR="00000000" w:rsidRPr="00000000">
        <w:rPr>
          <w:b w:val="1"/>
          <w:sz w:val="26"/>
          <w:szCs w:val="26"/>
          <w:rtl w:val="0"/>
        </w:rPr>
        <w:t xml:space="preserve">Charter School Board Training Requirements</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color w:val="525252"/>
          <w:sz w:val="21"/>
          <w:szCs w:val="21"/>
          <w:highlight w:val="white"/>
        </w:rPr>
      </w:pPr>
      <w:r w:rsidDel="00000000" w:rsidR="00000000" w:rsidRPr="00000000">
        <w:rPr>
          <w:color w:val="525252"/>
          <w:sz w:val="21"/>
          <w:szCs w:val="21"/>
          <w:highlight w:val="white"/>
          <w:rtl w:val="0"/>
        </w:rPr>
        <w:t xml:space="preserve">There are very specific professional development requirements outlined in </w:t>
      </w:r>
      <w:hyperlink r:id="rId6">
        <w:r w:rsidDel="00000000" w:rsidR="00000000" w:rsidRPr="00000000">
          <w:rPr>
            <w:color w:val="1155cc"/>
            <w:sz w:val="21"/>
            <w:szCs w:val="21"/>
            <w:highlight w:val="white"/>
            <w:u w:val="single"/>
            <w:rtl w:val="0"/>
          </w:rPr>
          <w:t xml:space="preserve">19 TAC §100.1102-1105</w:t>
        </w:r>
      </w:hyperlink>
      <w:r w:rsidDel="00000000" w:rsidR="00000000" w:rsidRPr="00000000">
        <w:rPr>
          <w:color w:val="525252"/>
          <w:sz w:val="21"/>
          <w:szCs w:val="21"/>
          <w:highlight w:val="white"/>
          <w:rtl w:val="0"/>
        </w:rPr>
        <w:t xml:space="preserve"> describing required training for board members, CEOs and charter officers, and campus administrators. Training provides charter board members with important information they need to make informed decisions on behalf of the schools they serve. Charter board members must complete 12 hours of training within their first year of taking office. In the years following the initial year of service, board members will take 6 hours of continuing education each year. It is important for charter board members to keep up with their anniversary of when they took office and to ensure the charter school director/CEO receives a copy of all training certificates. Charter schools must submit governance forms by December 1 of every calendar year to verify board members have completed governance training requirements. </w:t>
      </w:r>
      <w:hyperlink r:id="rId7">
        <w:r w:rsidDel="00000000" w:rsidR="00000000" w:rsidRPr="00000000">
          <w:rPr>
            <w:color w:val="1155cc"/>
            <w:sz w:val="21"/>
            <w:szCs w:val="21"/>
            <w:highlight w:val="white"/>
            <w:u w:val="single"/>
            <w:rtl w:val="0"/>
          </w:rPr>
          <w:t xml:space="preserve">Texas Education Code 12.123</w:t>
        </w:r>
      </w:hyperlink>
      <w:r w:rsidDel="00000000" w:rsidR="00000000" w:rsidRPr="00000000">
        <w:rPr>
          <w:color w:val="525252"/>
          <w:sz w:val="21"/>
          <w:szCs w:val="21"/>
          <w:highlight w:val="white"/>
          <w:rtl w:val="0"/>
        </w:rPr>
        <w:t xml:space="preserve"> details the training topics which include the following:</w:t>
      </w:r>
    </w:p>
    <w:p w:rsidR="00000000" w:rsidDel="00000000" w:rsidP="00000000" w:rsidRDefault="00000000" w:rsidRPr="00000000" w14:paraId="00000004">
      <w:pPr>
        <w:pageBreakBefore w:val="0"/>
        <w:numPr>
          <w:ilvl w:val="0"/>
          <w:numId w:val="1"/>
        </w:numPr>
        <w:ind w:left="720" w:hanging="360"/>
        <w:rPr>
          <w:color w:val="525252"/>
          <w:sz w:val="21"/>
          <w:szCs w:val="21"/>
          <w:highlight w:val="white"/>
          <w:u w:val="none"/>
        </w:rPr>
      </w:pPr>
      <w:r w:rsidDel="00000000" w:rsidR="00000000" w:rsidRPr="00000000">
        <w:rPr>
          <w:color w:val="525252"/>
          <w:sz w:val="21"/>
          <w:szCs w:val="21"/>
          <w:highlight w:val="white"/>
          <w:rtl w:val="0"/>
        </w:rPr>
        <w:t xml:space="preserve">Basic school law; </w:t>
      </w:r>
    </w:p>
    <w:p w:rsidR="00000000" w:rsidDel="00000000" w:rsidP="00000000" w:rsidRDefault="00000000" w:rsidRPr="00000000" w14:paraId="00000005">
      <w:pPr>
        <w:pageBreakBefore w:val="0"/>
        <w:numPr>
          <w:ilvl w:val="0"/>
          <w:numId w:val="1"/>
        </w:numPr>
        <w:ind w:left="720" w:hanging="360"/>
        <w:rPr>
          <w:color w:val="525252"/>
          <w:sz w:val="21"/>
          <w:szCs w:val="21"/>
          <w:highlight w:val="white"/>
          <w:u w:val="none"/>
        </w:rPr>
      </w:pPr>
      <w:r w:rsidDel="00000000" w:rsidR="00000000" w:rsidRPr="00000000">
        <w:rPr>
          <w:color w:val="525252"/>
          <w:sz w:val="21"/>
          <w:szCs w:val="21"/>
          <w:highlight w:val="white"/>
          <w:rtl w:val="0"/>
        </w:rPr>
        <w:t xml:space="preserve">School finance; </w:t>
      </w:r>
    </w:p>
    <w:p w:rsidR="00000000" w:rsidDel="00000000" w:rsidP="00000000" w:rsidRDefault="00000000" w:rsidRPr="00000000" w14:paraId="00000006">
      <w:pPr>
        <w:pageBreakBefore w:val="0"/>
        <w:numPr>
          <w:ilvl w:val="0"/>
          <w:numId w:val="1"/>
        </w:numPr>
        <w:ind w:left="720" w:hanging="360"/>
        <w:rPr>
          <w:color w:val="525252"/>
          <w:sz w:val="21"/>
          <w:szCs w:val="21"/>
          <w:highlight w:val="white"/>
          <w:u w:val="none"/>
        </w:rPr>
      </w:pPr>
      <w:r w:rsidDel="00000000" w:rsidR="00000000" w:rsidRPr="00000000">
        <w:rPr>
          <w:color w:val="525252"/>
          <w:sz w:val="21"/>
          <w:szCs w:val="21"/>
          <w:highlight w:val="white"/>
          <w:rtl w:val="0"/>
        </w:rPr>
        <w:t xml:space="preserve">Health and safety issues; </w:t>
      </w:r>
    </w:p>
    <w:p w:rsidR="00000000" w:rsidDel="00000000" w:rsidP="00000000" w:rsidRDefault="00000000" w:rsidRPr="00000000" w14:paraId="00000007">
      <w:pPr>
        <w:pageBreakBefore w:val="0"/>
        <w:numPr>
          <w:ilvl w:val="0"/>
          <w:numId w:val="1"/>
        </w:numPr>
        <w:ind w:left="720" w:hanging="360"/>
        <w:rPr>
          <w:color w:val="525252"/>
          <w:sz w:val="21"/>
          <w:szCs w:val="21"/>
          <w:highlight w:val="white"/>
          <w:u w:val="none"/>
        </w:rPr>
      </w:pPr>
      <w:r w:rsidDel="00000000" w:rsidR="00000000" w:rsidRPr="00000000">
        <w:rPr>
          <w:color w:val="525252"/>
          <w:sz w:val="21"/>
          <w:szCs w:val="21"/>
          <w:highlight w:val="white"/>
          <w:rtl w:val="0"/>
        </w:rPr>
        <w:t xml:space="preserve">Accountability requirements related to the use of public funds; and </w:t>
      </w:r>
    </w:p>
    <w:p w:rsidR="00000000" w:rsidDel="00000000" w:rsidP="00000000" w:rsidRDefault="00000000" w:rsidRPr="00000000" w14:paraId="00000008">
      <w:pPr>
        <w:pageBreakBefore w:val="0"/>
        <w:numPr>
          <w:ilvl w:val="0"/>
          <w:numId w:val="1"/>
        </w:numPr>
        <w:ind w:left="720" w:hanging="360"/>
        <w:rPr>
          <w:color w:val="525252"/>
          <w:sz w:val="21"/>
          <w:szCs w:val="21"/>
          <w:highlight w:val="white"/>
          <w:u w:val="none"/>
        </w:rPr>
      </w:pPr>
      <w:r w:rsidDel="00000000" w:rsidR="00000000" w:rsidRPr="00000000">
        <w:rPr>
          <w:color w:val="525252"/>
          <w:sz w:val="21"/>
          <w:szCs w:val="21"/>
          <w:highlight w:val="white"/>
          <w:rtl w:val="0"/>
        </w:rPr>
        <w:t xml:space="preserve">Other requirements related to public accountability such as open meetings requirements and public information requirements.</w:t>
      </w:r>
    </w:p>
    <w:p w:rsidR="00000000" w:rsidDel="00000000" w:rsidP="00000000" w:rsidRDefault="00000000" w:rsidRPr="00000000" w14:paraId="00000009">
      <w:pPr>
        <w:pageBreakBefore w:val="0"/>
        <w:rPr>
          <w:color w:val="525252"/>
          <w:sz w:val="21"/>
          <w:szCs w:val="21"/>
          <w:highlight w:val="white"/>
        </w:rPr>
      </w:pPr>
      <w:r w:rsidDel="00000000" w:rsidR="00000000" w:rsidRPr="00000000">
        <w:rPr>
          <w:color w:val="525252"/>
          <w:sz w:val="21"/>
          <w:szCs w:val="21"/>
          <w:highlight w:val="white"/>
          <w:rtl w:val="0"/>
        </w:rPr>
        <w:t xml:space="preserve">In some instances training requirements may not expressly apply to charter school boards; however, there may also be circumstances that would indicate it is best practice for a training to take place. An example of this would be the human trafficking requirement from the 86th Legislative Session. While charters were not specifically mentioned, they are required to adopt policies around this topic. Your ESC Region 12 Field Service Agent can assist you in determining an appropriate training plan for your team, along with scheduling training events. </w:t>
      </w:r>
    </w:p>
    <w:p w:rsidR="00000000" w:rsidDel="00000000" w:rsidP="00000000" w:rsidRDefault="00000000" w:rsidRPr="00000000" w14:paraId="0000000A">
      <w:pPr>
        <w:pageBreakBefore w:val="0"/>
        <w:rPr>
          <w:color w:val="525252"/>
          <w:sz w:val="21"/>
          <w:szCs w:val="21"/>
          <w:highlight w:val="white"/>
        </w:rPr>
      </w:pPr>
      <w:r w:rsidDel="00000000" w:rsidR="00000000" w:rsidRPr="00000000">
        <w:rPr>
          <w:rtl w:val="0"/>
        </w:rPr>
      </w:r>
    </w:p>
    <w:p w:rsidR="00000000" w:rsidDel="00000000" w:rsidP="00000000" w:rsidRDefault="00000000" w:rsidRPr="00000000" w14:paraId="0000000B">
      <w:pPr>
        <w:pageBreakBefore w:val="0"/>
        <w:rPr>
          <w:color w:val="525252"/>
          <w:sz w:val="21"/>
          <w:szCs w:val="21"/>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ritter.tea.state.tx.us/rules/tac/chapter100/index.html" TargetMode="External"/><Relationship Id="rId7" Type="http://schemas.openxmlformats.org/officeDocument/2006/relationships/hyperlink" Target="https://statutes.capitol.texas.gov/Docs/ED/htm/ED.12.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