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jc w:val="center"/>
        <w:rPr>
          <w:rFonts w:ascii="Luckiest Guy" w:cs="Luckiest Guy" w:eastAsia="Luckiest Guy" w:hAnsi="Luckiest Guy"/>
          <w:sz w:val="48"/>
          <w:szCs w:val="48"/>
        </w:rPr>
      </w:pPr>
      <w:r w:rsidDel="00000000" w:rsidR="00000000" w:rsidRPr="00000000">
        <w:rPr>
          <w:rFonts w:ascii="Luckiest Guy" w:cs="Luckiest Guy" w:eastAsia="Luckiest Guy" w:hAnsi="Luckiest Guy"/>
          <w:sz w:val="48"/>
          <w:szCs w:val="48"/>
          <w:rtl w:val="0"/>
        </w:rPr>
        <w:t xml:space="preserve">Links for Learning</w:t>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rPr>
          <w:rFonts w:ascii="Handlee" w:cs="Handlee" w:eastAsia="Handlee" w:hAnsi="Handlee"/>
          <w:sz w:val="24"/>
          <w:szCs w:val="24"/>
        </w:rPr>
      </w:pPr>
      <w:r w:rsidDel="00000000" w:rsidR="00000000" w:rsidRPr="00000000">
        <w:rPr>
          <w:rFonts w:ascii="Handlee" w:cs="Handlee" w:eastAsia="Handlee" w:hAnsi="Handlee"/>
          <w:sz w:val="24"/>
          <w:szCs w:val="24"/>
          <w:rtl w:val="0"/>
        </w:rPr>
        <w:t xml:space="preserve">We’ve compiled some of the most useful websites for high school students and grouped them into categories below. Whether you need help with research or want to start looking into applying for college, these links should help you out!</w:t>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rPr>
          <w:rFonts w:ascii="Handlee" w:cs="Handlee" w:eastAsia="Handlee" w:hAnsi="Handlee"/>
          <w:sz w:val="24"/>
          <w:szCs w:val="24"/>
        </w:rPr>
      </w:pPr>
      <w:r w:rsidDel="00000000" w:rsidR="00000000" w:rsidRPr="00000000">
        <w:rPr>
          <w:rtl w:val="0"/>
        </w:rPr>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rPr>
          <w:rFonts w:ascii="Luckiest Guy" w:cs="Luckiest Guy" w:eastAsia="Luckiest Guy" w:hAnsi="Luckiest Guy"/>
          <w:sz w:val="24"/>
          <w:szCs w:val="24"/>
        </w:rPr>
      </w:pPr>
      <w:r w:rsidDel="00000000" w:rsidR="00000000" w:rsidRPr="00000000">
        <w:rPr>
          <w:rFonts w:ascii="Luckiest Guy" w:cs="Luckiest Guy" w:eastAsia="Luckiest Guy" w:hAnsi="Luckiest Guy"/>
          <w:sz w:val="24"/>
          <w:szCs w:val="24"/>
          <w:rtl w:val="0"/>
        </w:rPr>
        <w:t xml:space="preserve">Best apps for high school students</w:t>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rPr>
          <w:rFonts w:ascii="Handlee" w:cs="Handlee" w:eastAsia="Handlee" w:hAnsi="Handlee"/>
          <w:sz w:val="24"/>
          <w:szCs w:val="24"/>
        </w:rPr>
      </w:pPr>
      <w:r w:rsidDel="00000000" w:rsidR="00000000" w:rsidRPr="00000000">
        <w:rPr>
          <w:rFonts w:ascii="Handlee" w:cs="Handlee" w:eastAsia="Handlee" w:hAnsi="Handlee"/>
          <w:sz w:val="24"/>
          <w:szCs w:val="24"/>
          <w:rtl w:val="0"/>
        </w:rPr>
        <w:t xml:space="preserve">While most of the links on this page are for websites, we know that most of you frequently use apps on your devices in addition to normal websites. </w:t>
      </w:r>
      <w:hyperlink r:id="rId6">
        <w:r w:rsidDel="00000000" w:rsidR="00000000" w:rsidRPr="00000000">
          <w:rPr>
            <w:rFonts w:ascii="Handlee" w:cs="Handlee" w:eastAsia="Handlee" w:hAnsi="Handlee"/>
            <w:color w:val="1155cc"/>
            <w:sz w:val="24"/>
            <w:szCs w:val="24"/>
            <w:u w:val="single"/>
            <w:rtl w:val="0"/>
          </w:rPr>
          <w:t xml:space="preserve">Magoosh</w:t>
        </w:r>
      </w:hyperlink>
      <w:r w:rsidDel="00000000" w:rsidR="00000000" w:rsidRPr="00000000">
        <w:rPr>
          <w:rFonts w:ascii="Handlee" w:cs="Handlee" w:eastAsia="Handlee" w:hAnsi="Handlee"/>
          <w:sz w:val="24"/>
          <w:szCs w:val="24"/>
          <w:rtl w:val="0"/>
        </w:rPr>
        <w:t xml:space="preserve"> has created a list of the top 20 most useful (and free!) apps for high school and college students. Check some of them out and find the ones that work for you!</w:t>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rPr>
          <w:rFonts w:ascii="Handlee" w:cs="Handlee" w:eastAsia="Handlee" w:hAnsi="Handlee"/>
          <w:sz w:val="24"/>
          <w:szCs w:val="24"/>
        </w:rPr>
      </w:pPr>
      <w:r w:rsidDel="00000000" w:rsidR="00000000" w:rsidRPr="00000000">
        <w:rPr>
          <w:rtl w:val="0"/>
        </w:rPr>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rPr>
          <w:rFonts w:ascii="Luckiest Guy" w:cs="Luckiest Guy" w:eastAsia="Luckiest Guy" w:hAnsi="Luckiest Guy"/>
          <w:sz w:val="24"/>
          <w:szCs w:val="24"/>
        </w:rPr>
      </w:pPr>
      <w:r w:rsidDel="00000000" w:rsidR="00000000" w:rsidRPr="00000000">
        <w:rPr>
          <w:rFonts w:ascii="Luckiest Guy" w:cs="Luckiest Guy" w:eastAsia="Luckiest Guy" w:hAnsi="Luckiest Guy"/>
          <w:sz w:val="24"/>
          <w:szCs w:val="24"/>
          <w:rtl w:val="0"/>
        </w:rPr>
        <w:t xml:space="preserve">General Homework Help</w:t>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rPr>
          <w:rFonts w:ascii="Handlee" w:cs="Handlee" w:eastAsia="Handlee" w:hAnsi="Handlee"/>
          <w:sz w:val="24"/>
          <w:szCs w:val="24"/>
        </w:rPr>
      </w:pPr>
      <w:r w:rsidDel="00000000" w:rsidR="00000000" w:rsidRPr="00000000">
        <w:rPr>
          <w:rFonts w:ascii="Handlee" w:cs="Handlee" w:eastAsia="Handlee" w:hAnsi="Handlee"/>
          <w:sz w:val="24"/>
          <w:szCs w:val="24"/>
          <w:rtl w:val="0"/>
        </w:rPr>
        <w:t xml:space="preserve">The Jacksonville Public Library has a ton of resources for teens, including their </w:t>
      </w:r>
      <w:hyperlink r:id="rId7">
        <w:r w:rsidDel="00000000" w:rsidR="00000000" w:rsidRPr="00000000">
          <w:rPr>
            <w:rFonts w:ascii="Handlee" w:cs="Handlee" w:eastAsia="Handlee" w:hAnsi="Handlee"/>
            <w:color w:val="1155cc"/>
            <w:sz w:val="24"/>
            <w:szCs w:val="24"/>
            <w:u w:val="single"/>
            <w:rtl w:val="0"/>
          </w:rPr>
          <w:t xml:space="preserve">Homework Help</w:t>
        </w:r>
      </w:hyperlink>
      <w:r w:rsidDel="00000000" w:rsidR="00000000" w:rsidRPr="00000000">
        <w:rPr>
          <w:rFonts w:ascii="Handlee" w:cs="Handlee" w:eastAsia="Handlee" w:hAnsi="Handlee"/>
          <w:sz w:val="24"/>
          <w:szCs w:val="24"/>
          <w:rtl w:val="0"/>
        </w:rPr>
        <w:t xml:space="preserve"> page that includes access to online databases like Brain Fuse to help you out. You can also access many of the library’s e-resources remotely (meaning you can access them from home without actually going to the library). It’s free and easy to apply for a library card if you don’t already have one--just drop by your nearest branch (there’s one on Chaffee) and ask a librarian for help.</w:t>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rPr>
          <w:rFonts w:ascii="Handlee" w:cs="Handlee" w:eastAsia="Handlee" w:hAnsi="Handlee"/>
          <w:sz w:val="24"/>
          <w:szCs w:val="24"/>
        </w:rPr>
      </w:pPr>
      <w:r w:rsidDel="00000000" w:rsidR="00000000" w:rsidRPr="00000000">
        <w:rPr>
          <w:rtl w:val="0"/>
        </w:rPr>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rPr>
          <w:rFonts w:ascii="Luckiest Guy" w:cs="Luckiest Guy" w:eastAsia="Luckiest Guy" w:hAnsi="Luckiest Guy"/>
          <w:sz w:val="24"/>
          <w:szCs w:val="24"/>
        </w:rPr>
      </w:pPr>
      <w:r w:rsidDel="00000000" w:rsidR="00000000" w:rsidRPr="00000000">
        <w:rPr>
          <w:rFonts w:ascii="Luckiest Guy" w:cs="Luckiest Guy" w:eastAsia="Luckiest Guy" w:hAnsi="Luckiest Guy"/>
          <w:sz w:val="24"/>
          <w:szCs w:val="24"/>
          <w:rtl w:val="0"/>
        </w:rPr>
        <w:t xml:space="preserve">Math help</w:t>
      </w:r>
    </w:p>
    <w:p w:rsidR="00000000" w:rsidDel="00000000" w:rsidP="00000000" w:rsidRDefault="00000000" w:rsidRPr="00000000" w14:paraId="0000000B">
      <w:pPr>
        <w:pageBreakBefore w:val="0"/>
        <w:pBdr>
          <w:top w:space="0" w:sz="0" w:val="nil"/>
          <w:left w:space="0" w:sz="0" w:val="nil"/>
          <w:bottom w:space="0" w:sz="0" w:val="nil"/>
          <w:right w:space="0" w:sz="0" w:val="nil"/>
          <w:between w:space="0" w:sz="0" w:val="nil"/>
        </w:pBdr>
        <w:shd w:fill="auto" w:val="clear"/>
        <w:rPr>
          <w:rFonts w:ascii="Handlee" w:cs="Handlee" w:eastAsia="Handlee" w:hAnsi="Handlee"/>
          <w:sz w:val="24"/>
          <w:szCs w:val="24"/>
        </w:rPr>
      </w:pPr>
      <w:hyperlink r:id="rId8">
        <w:r w:rsidDel="00000000" w:rsidR="00000000" w:rsidRPr="00000000">
          <w:rPr>
            <w:rFonts w:ascii="Handlee" w:cs="Handlee" w:eastAsia="Handlee" w:hAnsi="Handlee"/>
            <w:color w:val="1155cc"/>
            <w:sz w:val="24"/>
            <w:szCs w:val="24"/>
            <w:u w:val="single"/>
            <w:rtl w:val="0"/>
          </w:rPr>
          <w:t xml:space="preserve">Khan Academy</w:t>
        </w:r>
      </w:hyperlink>
      <w:r w:rsidDel="00000000" w:rsidR="00000000" w:rsidRPr="00000000">
        <w:rPr>
          <w:rFonts w:ascii="Handlee" w:cs="Handlee" w:eastAsia="Handlee" w:hAnsi="Handlee"/>
          <w:sz w:val="24"/>
          <w:szCs w:val="24"/>
          <w:rtl w:val="0"/>
        </w:rPr>
        <w:t xml:space="preserve"> offers hundreds of free online mini-lessons and videos about specific math skills and concepts. Lessons include interactive exercises so you can practice and track your progress toward mastery. Khan Academy has also branched out into other subject areas recently, so check them out!</w:t>
      </w:r>
    </w:p>
    <w:p w:rsidR="00000000" w:rsidDel="00000000" w:rsidP="00000000" w:rsidRDefault="00000000" w:rsidRPr="00000000" w14:paraId="0000000C">
      <w:pPr>
        <w:pageBreakBefore w:val="0"/>
        <w:pBdr>
          <w:top w:space="0" w:sz="0" w:val="nil"/>
          <w:left w:space="0" w:sz="0" w:val="nil"/>
          <w:bottom w:space="0" w:sz="0" w:val="nil"/>
          <w:right w:space="0" w:sz="0" w:val="nil"/>
          <w:between w:space="0" w:sz="0" w:val="nil"/>
        </w:pBdr>
        <w:shd w:fill="auto" w:val="clear"/>
        <w:rPr>
          <w:rFonts w:ascii="Handlee" w:cs="Handlee" w:eastAsia="Handlee" w:hAnsi="Handlee"/>
          <w:sz w:val="24"/>
          <w:szCs w:val="24"/>
        </w:rPr>
      </w:pPr>
      <w:r w:rsidDel="00000000" w:rsidR="00000000" w:rsidRPr="00000000">
        <w:rPr>
          <w:rtl w:val="0"/>
        </w:rPr>
      </w:r>
    </w:p>
    <w:p w:rsidR="00000000" w:rsidDel="00000000" w:rsidP="00000000" w:rsidRDefault="00000000" w:rsidRPr="00000000" w14:paraId="0000000D">
      <w:pPr>
        <w:pageBreakBefore w:val="0"/>
        <w:pBdr>
          <w:top w:space="0" w:sz="0" w:val="nil"/>
          <w:left w:space="0" w:sz="0" w:val="nil"/>
          <w:bottom w:space="0" w:sz="0" w:val="nil"/>
          <w:right w:space="0" w:sz="0" w:val="nil"/>
          <w:between w:space="0" w:sz="0" w:val="nil"/>
        </w:pBdr>
        <w:shd w:fill="auto" w:val="clear"/>
        <w:rPr>
          <w:rFonts w:ascii="Handlee" w:cs="Handlee" w:eastAsia="Handlee" w:hAnsi="Handlee"/>
          <w:sz w:val="24"/>
          <w:szCs w:val="24"/>
        </w:rPr>
      </w:pPr>
      <w:hyperlink r:id="rId9">
        <w:r w:rsidDel="00000000" w:rsidR="00000000" w:rsidRPr="00000000">
          <w:rPr>
            <w:rFonts w:ascii="Handlee" w:cs="Handlee" w:eastAsia="Handlee" w:hAnsi="Handlee"/>
            <w:color w:val="1155cc"/>
            <w:sz w:val="24"/>
            <w:szCs w:val="24"/>
            <w:u w:val="single"/>
            <w:rtl w:val="0"/>
          </w:rPr>
          <w:t xml:space="preserve">Math.com</w:t>
        </w:r>
      </w:hyperlink>
      <w:r w:rsidDel="00000000" w:rsidR="00000000" w:rsidRPr="00000000">
        <w:rPr>
          <w:rFonts w:ascii="Handlee" w:cs="Handlee" w:eastAsia="Handlee" w:hAnsi="Handlee"/>
          <w:sz w:val="24"/>
          <w:szCs w:val="24"/>
          <w:rtl w:val="0"/>
        </w:rPr>
        <w:t xml:space="preserve"> lets you choose which level of math you want (pre-algebra, algebra, etc.) and then focus down on a specific concept to practice. Each concept is presented in four steps: overview, in-depth, examples, and practice. Interactive quizzes at the end of each section let you check your progress. </w:t>
      </w:r>
    </w:p>
    <w:p w:rsidR="00000000" w:rsidDel="00000000" w:rsidP="00000000" w:rsidRDefault="00000000" w:rsidRPr="00000000" w14:paraId="0000000E">
      <w:pPr>
        <w:pageBreakBefore w:val="0"/>
        <w:pBdr>
          <w:top w:space="0" w:sz="0" w:val="nil"/>
          <w:left w:space="0" w:sz="0" w:val="nil"/>
          <w:bottom w:space="0" w:sz="0" w:val="nil"/>
          <w:right w:space="0" w:sz="0" w:val="nil"/>
          <w:between w:space="0" w:sz="0" w:val="nil"/>
        </w:pBdr>
        <w:shd w:fill="auto" w:val="clear"/>
        <w:rPr>
          <w:rFonts w:ascii="Handlee" w:cs="Handlee" w:eastAsia="Handlee" w:hAnsi="Handlee"/>
          <w:sz w:val="24"/>
          <w:szCs w:val="24"/>
        </w:rPr>
      </w:pPr>
      <w:r w:rsidDel="00000000" w:rsidR="00000000" w:rsidRPr="00000000">
        <w:rPr>
          <w:rtl w:val="0"/>
        </w:rPr>
      </w:r>
    </w:p>
    <w:p w:rsidR="00000000" w:rsidDel="00000000" w:rsidP="00000000" w:rsidRDefault="00000000" w:rsidRPr="00000000" w14:paraId="0000000F">
      <w:pPr>
        <w:pageBreakBefore w:val="0"/>
        <w:pBdr>
          <w:top w:space="0" w:sz="0" w:val="nil"/>
          <w:left w:space="0" w:sz="0" w:val="nil"/>
          <w:bottom w:space="0" w:sz="0" w:val="nil"/>
          <w:right w:space="0" w:sz="0" w:val="nil"/>
          <w:between w:space="0" w:sz="0" w:val="nil"/>
        </w:pBdr>
        <w:shd w:fill="auto" w:val="clear"/>
        <w:rPr>
          <w:rFonts w:ascii="Luckiest Guy" w:cs="Luckiest Guy" w:eastAsia="Luckiest Guy" w:hAnsi="Luckiest Guy"/>
          <w:sz w:val="24"/>
          <w:szCs w:val="24"/>
        </w:rPr>
      </w:pPr>
      <w:r w:rsidDel="00000000" w:rsidR="00000000" w:rsidRPr="00000000">
        <w:rPr>
          <w:rFonts w:ascii="Luckiest Guy" w:cs="Luckiest Guy" w:eastAsia="Luckiest Guy" w:hAnsi="Luckiest Guy"/>
          <w:sz w:val="24"/>
          <w:szCs w:val="24"/>
          <w:rtl w:val="0"/>
        </w:rPr>
        <w:t xml:space="preserve">Graphing tools</w:t>
      </w:r>
    </w:p>
    <w:p w:rsidR="00000000" w:rsidDel="00000000" w:rsidP="00000000" w:rsidRDefault="00000000" w:rsidRPr="00000000" w14:paraId="00000010">
      <w:pPr>
        <w:pageBreakBefore w:val="0"/>
        <w:pBdr>
          <w:top w:space="0" w:sz="0" w:val="nil"/>
          <w:left w:space="0" w:sz="0" w:val="nil"/>
          <w:bottom w:space="0" w:sz="0" w:val="nil"/>
          <w:right w:space="0" w:sz="0" w:val="nil"/>
          <w:between w:space="0" w:sz="0" w:val="nil"/>
        </w:pBdr>
        <w:shd w:fill="auto" w:val="clear"/>
        <w:rPr>
          <w:rFonts w:ascii="Handlee" w:cs="Handlee" w:eastAsia="Handlee" w:hAnsi="Handlee"/>
          <w:sz w:val="24"/>
          <w:szCs w:val="24"/>
        </w:rPr>
      </w:pPr>
      <w:r w:rsidDel="00000000" w:rsidR="00000000" w:rsidRPr="00000000">
        <w:rPr>
          <w:rFonts w:ascii="Handlee" w:cs="Handlee" w:eastAsia="Handlee" w:hAnsi="Handlee"/>
          <w:sz w:val="24"/>
          <w:szCs w:val="24"/>
          <w:rtl w:val="0"/>
        </w:rPr>
        <w:t xml:space="preserve">The </w:t>
      </w:r>
      <w:hyperlink r:id="rId10">
        <w:r w:rsidDel="00000000" w:rsidR="00000000" w:rsidRPr="00000000">
          <w:rPr>
            <w:rFonts w:ascii="Handlee" w:cs="Handlee" w:eastAsia="Handlee" w:hAnsi="Handlee"/>
            <w:color w:val="1155cc"/>
            <w:sz w:val="24"/>
            <w:szCs w:val="24"/>
            <w:u w:val="single"/>
            <w:rtl w:val="0"/>
          </w:rPr>
          <w:t xml:space="preserve">Create-a-Graph</w:t>
        </w:r>
      </w:hyperlink>
      <w:r w:rsidDel="00000000" w:rsidR="00000000" w:rsidRPr="00000000">
        <w:rPr>
          <w:rFonts w:ascii="Handlee" w:cs="Handlee" w:eastAsia="Handlee" w:hAnsi="Handlee"/>
          <w:sz w:val="24"/>
          <w:szCs w:val="24"/>
          <w:rtl w:val="0"/>
        </w:rPr>
        <w:t xml:space="preserve"> tool from the National Center for Education Statistics lets you choose which type of graph you’d like, customize the look and information displayed in the graph, and enter in your own data. You can save or print your graphs for use in projects.</w:t>
      </w:r>
    </w:p>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shd w:fill="auto" w:val="clear"/>
        <w:rPr>
          <w:rFonts w:ascii="Handlee" w:cs="Handlee" w:eastAsia="Handlee" w:hAnsi="Handlee"/>
          <w:sz w:val="24"/>
          <w:szCs w:val="24"/>
        </w:rPr>
      </w:pPr>
      <w:r w:rsidDel="00000000" w:rsidR="00000000" w:rsidRPr="00000000">
        <w:rPr>
          <w:rtl w:val="0"/>
        </w:rPr>
      </w:r>
    </w:p>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shd w:fill="auto" w:val="clear"/>
        <w:rPr>
          <w:rFonts w:ascii="Luckiest Guy" w:cs="Luckiest Guy" w:eastAsia="Luckiest Guy" w:hAnsi="Luckiest Guy"/>
          <w:sz w:val="24"/>
          <w:szCs w:val="24"/>
        </w:rPr>
      </w:pPr>
      <w:r w:rsidDel="00000000" w:rsidR="00000000" w:rsidRPr="00000000">
        <w:rPr>
          <w:rFonts w:ascii="Luckiest Guy" w:cs="Luckiest Guy" w:eastAsia="Luckiest Guy" w:hAnsi="Luckiest Guy"/>
          <w:sz w:val="24"/>
          <w:szCs w:val="24"/>
          <w:rtl w:val="0"/>
        </w:rPr>
        <w:t xml:space="preserve">Writing and reading resources</w:t>
      </w:r>
    </w:p>
    <w:p w:rsidR="00000000" w:rsidDel="00000000" w:rsidP="00000000" w:rsidRDefault="00000000" w:rsidRPr="00000000" w14:paraId="00000013">
      <w:pPr>
        <w:pageBreakBefore w:val="0"/>
        <w:pBdr>
          <w:top w:space="0" w:sz="0" w:val="nil"/>
          <w:left w:space="0" w:sz="0" w:val="nil"/>
          <w:bottom w:space="0" w:sz="0" w:val="nil"/>
          <w:right w:space="0" w:sz="0" w:val="nil"/>
          <w:between w:space="0" w:sz="0" w:val="nil"/>
        </w:pBdr>
        <w:shd w:fill="auto" w:val="clear"/>
        <w:rPr>
          <w:rFonts w:ascii="Handlee" w:cs="Handlee" w:eastAsia="Handlee" w:hAnsi="Handlee"/>
          <w:sz w:val="24"/>
          <w:szCs w:val="24"/>
        </w:rPr>
      </w:pPr>
      <w:r w:rsidDel="00000000" w:rsidR="00000000" w:rsidRPr="00000000">
        <w:rPr>
          <w:rFonts w:ascii="Handlee" w:cs="Handlee" w:eastAsia="Handlee" w:hAnsi="Handlee"/>
          <w:sz w:val="24"/>
          <w:szCs w:val="24"/>
          <w:rtl w:val="0"/>
        </w:rPr>
        <w:t xml:space="preserve">All of our English teachers swear by the </w:t>
      </w:r>
      <w:hyperlink r:id="rId11">
        <w:r w:rsidDel="00000000" w:rsidR="00000000" w:rsidRPr="00000000">
          <w:rPr>
            <w:rFonts w:ascii="Handlee" w:cs="Handlee" w:eastAsia="Handlee" w:hAnsi="Handlee"/>
            <w:color w:val="1155cc"/>
            <w:sz w:val="24"/>
            <w:szCs w:val="24"/>
            <w:u w:val="single"/>
            <w:rtl w:val="0"/>
          </w:rPr>
          <w:t xml:space="preserve">Purdue OWL</w:t>
        </w:r>
      </w:hyperlink>
      <w:r w:rsidDel="00000000" w:rsidR="00000000" w:rsidRPr="00000000">
        <w:rPr>
          <w:rFonts w:ascii="Handlee" w:cs="Handlee" w:eastAsia="Handlee" w:hAnsi="Handlee"/>
          <w:sz w:val="24"/>
          <w:szCs w:val="24"/>
          <w:rtl w:val="0"/>
        </w:rPr>
        <w:t xml:space="preserve">. This website is not only the go-to source for understanding and using the MLA format in your papers and projects, but also has lessons and exercises in grammar, research writing, revising, and proofreading.</w:t>
      </w:r>
    </w:p>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rPr>
          <w:rFonts w:ascii="Handlee" w:cs="Handlee" w:eastAsia="Handlee" w:hAnsi="Handlee"/>
          <w:sz w:val="24"/>
          <w:szCs w:val="24"/>
        </w:rPr>
      </w:pPr>
      <w:r w:rsidDel="00000000" w:rsidR="00000000" w:rsidRPr="00000000">
        <w:rPr>
          <w:rtl w:val="0"/>
        </w:rPr>
      </w:r>
    </w:p>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shd w:fill="auto" w:val="clear"/>
        <w:rPr>
          <w:rFonts w:ascii="Handlee" w:cs="Handlee" w:eastAsia="Handlee" w:hAnsi="Handlee"/>
          <w:sz w:val="24"/>
          <w:szCs w:val="24"/>
        </w:rPr>
      </w:pPr>
      <w:r w:rsidDel="00000000" w:rsidR="00000000" w:rsidRPr="00000000">
        <w:rPr>
          <w:rFonts w:ascii="Handlee" w:cs="Handlee" w:eastAsia="Handlee" w:hAnsi="Handlee"/>
          <w:sz w:val="24"/>
          <w:szCs w:val="24"/>
          <w:rtl w:val="0"/>
        </w:rPr>
        <w:t xml:space="preserve">For an easily-accessible dictionary and thesaurus, you can’t beat </w:t>
      </w:r>
      <w:hyperlink r:id="rId12">
        <w:r w:rsidDel="00000000" w:rsidR="00000000" w:rsidRPr="00000000">
          <w:rPr>
            <w:rFonts w:ascii="Handlee" w:cs="Handlee" w:eastAsia="Handlee" w:hAnsi="Handlee"/>
            <w:color w:val="1155cc"/>
            <w:sz w:val="24"/>
            <w:szCs w:val="24"/>
            <w:u w:val="single"/>
            <w:rtl w:val="0"/>
          </w:rPr>
          <w:t xml:space="preserve">dictionary.com</w:t>
        </w:r>
      </w:hyperlink>
      <w:r w:rsidDel="00000000" w:rsidR="00000000" w:rsidRPr="00000000">
        <w:rPr>
          <w:rFonts w:ascii="Handlee" w:cs="Handlee" w:eastAsia="Handlee" w:hAnsi="Handlee"/>
          <w:sz w:val="24"/>
          <w:szCs w:val="24"/>
          <w:rtl w:val="0"/>
        </w:rPr>
        <w:t xml:space="preserve"> and </w:t>
      </w:r>
      <w:hyperlink r:id="rId13">
        <w:r w:rsidDel="00000000" w:rsidR="00000000" w:rsidRPr="00000000">
          <w:rPr>
            <w:rFonts w:ascii="Handlee" w:cs="Handlee" w:eastAsia="Handlee" w:hAnsi="Handlee"/>
            <w:color w:val="1155cc"/>
            <w:sz w:val="24"/>
            <w:szCs w:val="24"/>
            <w:u w:val="single"/>
            <w:rtl w:val="0"/>
          </w:rPr>
          <w:t xml:space="preserve">thesaurus.com</w:t>
        </w:r>
      </w:hyperlink>
      <w:r w:rsidDel="00000000" w:rsidR="00000000" w:rsidRPr="00000000">
        <w:rPr>
          <w:rFonts w:ascii="Handlee" w:cs="Handlee" w:eastAsia="Handlee" w:hAnsi="Handlee"/>
          <w:sz w:val="24"/>
          <w:szCs w:val="24"/>
          <w:rtl w:val="0"/>
        </w:rPr>
        <w:t xml:space="preserve">. Both let you hear word pronunciations, as well!</w:t>
      </w:r>
    </w:p>
    <w:p w:rsidR="00000000" w:rsidDel="00000000" w:rsidP="00000000" w:rsidRDefault="00000000" w:rsidRPr="00000000" w14:paraId="00000016">
      <w:pPr>
        <w:pageBreakBefore w:val="0"/>
        <w:pBdr>
          <w:top w:space="0" w:sz="0" w:val="nil"/>
          <w:left w:space="0" w:sz="0" w:val="nil"/>
          <w:bottom w:space="0" w:sz="0" w:val="nil"/>
          <w:right w:space="0" w:sz="0" w:val="nil"/>
          <w:between w:space="0" w:sz="0" w:val="nil"/>
        </w:pBdr>
        <w:shd w:fill="auto" w:val="clear"/>
        <w:rPr>
          <w:rFonts w:ascii="Handlee" w:cs="Handlee" w:eastAsia="Handlee" w:hAnsi="Handlee"/>
          <w:sz w:val="24"/>
          <w:szCs w:val="24"/>
        </w:rPr>
      </w:pPr>
      <w:r w:rsidDel="00000000" w:rsidR="00000000" w:rsidRPr="00000000">
        <w:rPr>
          <w:rtl w:val="0"/>
        </w:rPr>
      </w:r>
    </w:p>
    <w:p w:rsidR="00000000" w:rsidDel="00000000" w:rsidP="00000000" w:rsidRDefault="00000000" w:rsidRPr="00000000" w14:paraId="00000017">
      <w:pPr>
        <w:pageBreakBefore w:val="0"/>
        <w:pBdr>
          <w:top w:space="0" w:sz="0" w:val="nil"/>
          <w:left w:space="0" w:sz="0" w:val="nil"/>
          <w:bottom w:space="0" w:sz="0" w:val="nil"/>
          <w:right w:space="0" w:sz="0" w:val="nil"/>
          <w:between w:space="0" w:sz="0" w:val="nil"/>
        </w:pBdr>
        <w:shd w:fill="auto" w:val="clear"/>
        <w:rPr>
          <w:rFonts w:ascii="Handlee" w:cs="Handlee" w:eastAsia="Handlee" w:hAnsi="Handlee"/>
          <w:sz w:val="24"/>
          <w:szCs w:val="24"/>
        </w:rPr>
      </w:pPr>
      <w:r w:rsidDel="00000000" w:rsidR="00000000" w:rsidRPr="00000000">
        <w:rPr>
          <w:rFonts w:ascii="Handlee" w:cs="Handlee" w:eastAsia="Handlee" w:hAnsi="Handlee"/>
          <w:sz w:val="24"/>
          <w:szCs w:val="24"/>
          <w:rtl w:val="0"/>
        </w:rPr>
        <w:t xml:space="preserve">If your teacher has assigned a book or story which is in the public domain (meaning it is no longer under copyright--most classics are now in the public domain) and you’d rather listen to it than read it yourself, check out </w:t>
      </w:r>
      <w:hyperlink r:id="rId14">
        <w:r w:rsidDel="00000000" w:rsidR="00000000" w:rsidRPr="00000000">
          <w:rPr>
            <w:rFonts w:ascii="Handlee" w:cs="Handlee" w:eastAsia="Handlee" w:hAnsi="Handlee"/>
            <w:color w:val="1155cc"/>
            <w:sz w:val="24"/>
            <w:szCs w:val="24"/>
            <w:u w:val="single"/>
            <w:rtl w:val="0"/>
          </w:rPr>
          <w:t xml:space="preserve">LibriVox</w:t>
        </w:r>
      </w:hyperlink>
      <w:r w:rsidDel="00000000" w:rsidR="00000000" w:rsidRPr="00000000">
        <w:rPr>
          <w:rFonts w:ascii="Handlee" w:cs="Handlee" w:eastAsia="Handlee" w:hAnsi="Handlee"/>
          <w:sz w:val="24"/>
          <w:szCs w:val="24"/>
          <w:rtl w:val="0"/>
        </w:rPr>
        <w:t xml:space="preserve">. This site offers a library full of public domain audiobooks recorded and uploaded by volunteers around the country. Even if you aren’t assigned a book, check it out--there are plenty of titles you may want to listen to on your own!</w:t>
      </w:r>
    </w:p>
    <w:p w:rsidR="00000000" w:rsidDel="00000000" w:rsidP="00000000" w:rsidRDefault="00000000" w:rsidRPr="00000000" w14:paraId="00000018">
      <w:pPr>
        <w:pageBreakBefore w:val="0"/>
        <w:pBdr>
          <w:top w:space="0" w:sz="0" w:val="nil"/>
          <w:left w:space="0" w:sz="0" w:val="nil"/>
          <w:bottom w:space="0" w:sz="0" w:val="nil"/>
          <w:right w:space="0" w:sz="0" w:val="nil"/>
          <w:between w:space="0" w:sz="0" w:val="nil"/>
        </w:pBdr>
        <w:shd w:fill="auto" w:val="clear"/>
        <w:rPr>
          <w:rFonts w:ascii="Handlee" w:cs="Handlee" w:eastAsia="Handlee" w:hAnsi="Handlee"/>
          <w:sz w:val="24"/>
          <w:szCs w:val="24"/>
        </w:rPr>
      </w:pPr>
      <w:r w:rsidDel="00000000" w:rsidR="00000000" w:rsidRPr="00000000">
        <w:rPr>
          <w:rtl w:val="0"/>
        </w:rPr>
      </w:r>
    </w:p>
    <w:p w:rsidR="00000000" w:rsidDel="00000000" w:rsidP="00000000" w:rsidRDefault="00000000" w:rsidRPr="00000000" w14:paraId="00000019">
      <w:pPr>
        <w:pageBreakBefore w:val="0"/>
        <w:pBdr>
          <w:top w:space="0" w:sz="0" w:val="nil"/>
          <w:left w:space="0" w:sz="0" w:val="nil"/>
          <w:bottom w:space="0" w:sz="0" w:val="nil"/>
          <w:right w:space="0" w:sz="0" w:val="nil"/>
          <w:between w:space="0" w:sz="0" w:val="nil"/>
        </w:pBdr>
        <w:shd w:fill="auto" w:val="clear"/>
        <w:rPr>
          <w:rFonts w:ascii="Handlee" w:cs="Handlee" w:eastAsia="Handlee" w:hAnsi="Handlee"/>
          <w:sz w:val="24"/>
          <w:szCs w:val="24"/>
        </w:rPr>
      </w:pPr>
      <w:hyperlink r:id="rId15">
        <w:r w:rsidDel="00000000" w:rsidR="00000000" w:rsidRPr="00000000">
          <w:rPr>
            <w:rFonts w:ascii="Handlee" w:cs="Handlee" w:eastAsia="Handlee" w:hAnsi="Handlee"/>
            <w:color w:val="1155cc"/>
            <w:sz w:val="24"/>
            <w:szCs w:val="24"/>
            <w:u w:val="single"/>
            <w:rtl w:val="0"/>
          </w:rPr>
          <w:t xml:space="preserve">Project Gutenberg</w:t>
        </w:r>
      </w:hyperlink>
      <w:r w:rsidDel="00000000" w:rsidR="00000000" w:rsidRPr="00000000">
        <w:rPr>
          <w:rFonts w:ascii="Handlee" w:cs="Handlee" w:eastAsia="Handlee" w:hAnsi="Handlee"/>
          <w:sz w:val="24"/>
          <w:szCs w:val="24"/>
          <w:rtl w:val="0"/>
        </w:rPr>
        <w:t xml:space="preserve"> is another public domain project, but this one offers free digital e-books rather than audiobooks. Their database also offers free Kindle e-books and e-pub books which you can read online or download to read later.</w:t>
      </w:r>
    </w:p>
    <w:p w:rsidR="00000000" w:rsidDel="00000000" w:rsidP="00000000" w:rsidRDefault="00000000" w:rsidRPr="00000000" w14:paraId="0000001A">
      <w:pPr>
        <w:pageBreakBefore w:val="0"/>
        <w:pBdr>
          <w:top w:space="0" w:sz="0" w:val="nil"/>
          <w:left w:space="0" w:sz="0" w:val="nil"/>
          <w:bottom w:space="0" w:sz="0" w:val="nil"/>
          <w:right w:space="0" w:sz="0" w:val="nil"/>
          <w:between w:space="0" w:sz="0" w:val="nil"/>
        </w:pBdr>
        <w:shd w:fill="auto" w:val="clear"/>
        <w:rPr>
          <w:rFonts w:ascii="Handlee" w:cs="Handlee" w:eastAsia="Handlee" w:hAnsi="Handlee"/>
          <w:sz w:val="24"/>
          <w:szCs w:val="24"/>
        </w:rPr>
      </w:pPr>
      <w:r w:rsidDel="00000000" w:rsidR="00000000" w:rsidRPr="00000000">
        <w:rPr>
          <w:rtl w:val="0"/>
        </w:rPr>
      </w:r>
    </w:p>
    <w:p w:rsidR="00000000" w:rsidDel="00000000" w:rsidP="00000000" w:rsidRDefault="00000000" w:rsidRPr="00000000" w14:paraId="0000001B">
      <w:pPr>
        <w:pageBreakBefore w:val="0"/>
        <w:pBdr>
          <w:top w:space="0" w:sz="0" w:val="nil"/>
          <w:left w:space="0" w:sz="0" w:val="nil"/>
          <w:bottom w:space="0" w:sz="0" w:val="nil"/>
          <w:right w:space="0" w:sz="0" w:val="nil"/>
          <w:between w:space="0" w:sz="0" w:val="nil"/>
        </w:pBdr>
        <w:shd w:fill="auto" w:val="clear"/>
        <w:rPr>
          <w:rFonts w:ascii="Handlee" w:cs="Handlee" w:eastAsia="Handlee" w:hAnsi="Handlee"/>
          <w:sz w:val="24"/>
          <w:szCs w:val="24"/>
        </w:rPr>
      </w:pPr>
      <w:hyperlink r:id="rId16">
        <w:r w:rsidDel="00000000" w:rsidR="00000000" w:rsidRPr="00000000">
          <w:rPr>
            <w:rFonts w:ascii="Handlee" w:cs="Handlee" w:eastAsia="Handlee" w:hAnsi="Handlee"/>
            <w:color w:val="1155cc"/>
            <w:sz w:val="24"/>
            <w:szCs w:val="24"/>
            <w:u w:val="single"/>
            <w:rtl w:val="0"/>
          </w:rPr>
          <w:t xml:space="preserve">ReadPrint</w:t>
        </w:r>
      </w:hyperlink>
      <w:r w:rsidDel="00000000" w:rsidR="00000000" w:rsidRPr="00000000">
        <w:rPr>
          <w:rFonts w:ascii="Handlee" w:cs="Handlee" w:eastAsia="Handlee" w:hAnsi="Handlee"/>
          <w:sz w:val="24"/>
          <w:szCs w:val="24"/>
          <w:rtl w:val="0"/>
        </w:rPr>
        <w:t xml:space="preserve"> offers free access to hundreds of short stories, fiction, non-fiction, plays, poems, and many more genres of literature. It also has the option for you to join online book clubs, discuss the books you’ve read, and keep lists of books you’ve read and those you’d like to read in the future.</w:t>
      </w:r>
    </w:p>
    <w:p w:rsidR="00000000" w:rsidDel="00000000" w:rsidP="00000000" w:rsidRDefault="00000000" w:rsidRPr="00000000" w14:paraId="0000001C">
      <w:pPr>
        <w:pageBreakBefore w:val="0"/>
        <w:pBdr>
          <w:top w:space="0" w:sz="0" w:val="nil"/>
          <w:left w:space="0" w:sz="0" w:val="nil"/>
          <w:bottom w:space="0" w:sz="0" w:val="nil"/>
          <w:right w:space="0" w:sz="0" w:val="nil"/>
          <w:between w:space="0" w:sz="0" w:val="nil"/>
        </w:pBdr>
        <w:shd w:fill="auto" w:val="clear"/>
        <w:rPr>
          <w:rFonts w:ascii="Handlee" w:cs="Handlee" w:eastAsia="Handlee" w:hAnsi="Handlee"/>
          <w:sz w:val="24"/>
          <w:szCs w:val="24"/>
        </w:rPr>
      </w:pPr>
      <w:r w:rsidDel="00000000" w:rsidR="00000000" w:rsidRPr="00000000">
        <w:rPr>
          <w:rtl w:val="0"/>
        </w:rPr>
      </w:r>
    </w:p>
    <w:p w:rsidR="00000000" w:rsidDel="00000000" w:rsidP="00000000" w:rsidRDefault="00000000" w:rsidRPr="00000000" w14:paraId="0000001D">
      <w:pPr>
        <w:pageBreakBefore w:val="0"/>
        <w:pBdr>
          <w:top w:space="0" w:sz="0" w:val="nil"/>
          <w:left w:space="0" w:sz="0" w:val="nil"/>
          <w:bottom w:space="0" w:sz="0" w:val="nil"/>
          <w:right w:space="0" w:sz="0" w:val="nil"/>
          <w:between w:space="0" w:sz="0" w:val="nil"/>
        </w:pBdr>
        <w:shd w:fill="auto" w:val="clear"/>
        <w:rPr>
          <w:rFonts w:ascii="Luckiest Guy" w:cs="Luckiest Guy" w:eastAsia="Luckiest Guy" w:hAnsi="Luckiest Guy"/>
          <w:sz w:val="24"/>
          <w:szCs w:val="24"/>
        </w:rPr>
      </w:pPr>
      <w:r w:rsidDel="00000000" w:rsidR="00000000" w:rsidRPr="00000000">
        <w:rPr>
          <w:rFonts w:ascii="Luckiest Guy" w:cs="Luckiest Guy" w:eastAsia="Luckiest Guy" w:hAnsi="Luckiest Guy"/>
          <w:sz w:val="24"/>
          <w:szCs w:val="24"/>
          <w:rtl w:val="0"/>
        </w:rPr>
        <w:t xml:space="preserve">Research help</w:t>
      </w:r>
    </w:p>
    <w:p w:rsidR="00000000" w:rsidDel="00000000" w:rsidP="00000000" w:rsidRDefault="00000000" w:rsidRPr="00000000" w14:paraId="0000001E">
      <w:pPr>
        <w:pageBreakBefore w:val="0"/>
        <w:pBdr>
          <w:top w:space="0" w:sz="0" w:val="nil"/>
          <w:left w:space="0" w:sz="0" w:val="nil"/>
          <w:bottom w:space="0" w:sz="0" w:val="nil"/>
          <w:right w:space="0" w:sz="0" w:val="nil"/>
          <w:between w:space="0" w:sz="0" w:val="nil"/>
        </w:pBdr>
        <w:shd w:fill="auto" w:val="clear"/>
        <w:rPr>
          <w:rFonts w:ascii="Handlee" w:cs="Handlee" w:eastAsia="Handlee" w:hAnsi="Handlee"/>
          <w:sz w:val="24"/>
          <w:szCs w:val="24"/>
        </w:rPr>
      </w:pPr>
      <w:hyperlink r:id="rId17">
        <w:r w:rsidDel="00000000" w:rsidR="00000000" w:rsidRPr="00000000">
          <w:rPr>
            <w:rFonts w:ascii="Handlee" w:cs="Handlee" w:eastAsia="Handlee" w:hAnsi="Handlee"/>
            <w:color w:val="1155cc"/>
            <w:sz w:val="24"/>
            <w:szCs w:val="24"/>
            <w:u w:val="single"/>
            <w:rtl w:val="0"/>
          </w:rPr>
          <w:t xml:space="preserve">A Research Guide</w:t>
        </w:r>
      </w:hyperlink>
      <w:r w:rsidDel="00000000" w:rsidR="00000000" w:rsidRPr="00000000">
        <w:rPr>
          <w:rFonts w:ascii="Handlee" w:cs="Handlee" w:eastAsia="Handlee" w:hAnsi="Handlee"/>
          <w:sz w:val="24"/>
          <w:szCs w:val="24"/>
          <w:rtl w:val="0"/>
        </w:rPr>
        <w:t xml:space="preserve"> is just that--a research guide for students faced with the daunting task of researching and writing a big paper. The guide explains how to get started with your research, how to organize your data, how to properly cite your sources, and even how to format and proofread your final draft.</w:t>
      </w:r>
    </w:p>
    <w:p w:rsidR="00000000" w:rsidDel="00000000" w:rsidP="00000000" w:rsidRDefault="00000000" w:rsidRPr="00000000" w14:paraId="0000001F">
      <w:pPr>
        <w:pageBreakBefore w:val="0"/>
        <w:pBdr>
          <w:top w:space="0" w:sz="0" w:val="nil"/>
          <w:left w:space="0" w:sz="0" w:val="nil"/>
          <w:bottom w:space="0" w:sz="0" w:val="nil"/>
          <w:right w:space="0" w:sz="0" w:val="nil"/>
          <w:between w:space="0" w:sz="0" w:val="nil"/>
        </w:pBdr>
        <w:shd w:fill="auto" w:val="clear"/>
        <w:rPr>
          <w:rFonts w:ascii="Handlee" w:cs="Handlee" w:eastAsia="Handlee" w:hAnsi="Handlee"/>
          <w:sz w:val="24"/>
          <w:szCs w:val="24"/>
        </w:rPr>
      </w:pPr>
      <w:r w:rsidDel="00000000" w:rsidR="00000000" w:rsidRPr="00000000">
        <w:rPr>
          <w:rtl w:val="0"/>
        </w:rPr>
      </w:r>
    </w:p>
    <w:p w:rsidR="00000000" w:rsidDel="00000000" w:rsidP="00000000" w:rsidRDefault="00000000" w:rsidRPr="00000000" w14:paraId="00000020">
      <w:pPr>
        <w:pageBreakBefore w:val="0"/>
        <w:pBdr>
          <w:top w:space="0" w:sz="0" w:val="nil"/>
          <w:left w:space="0" w:sz="0" w:val="nil"/>
          <w:bottom w:space="0" w:sz="0" w:val="nil"/>
          <w:right w:space="0" w:sz="0" w:val="nil"/>
          <w:between w:space="0" w:sz="0" w:val="nil"/>
        </w:pBdr>
        <w:shd w:fill="auto" w:val="clear"/>
        <w:rPr>
          <w:rFonts w:ascii="Handlee" w:cs="Handlee" w:eastAsia="Handlee" w:hAnsi="Handlee"/>
          <w:sz w:val="24"/>
          <w:szCs w:val="24"/>
        </w:rPr>
      </w:pPr>
      <w:hyperlink r:id="rId18">
        <w:r w:rsidDel="00000000" w:rsidR="00000000" w:rsidRPr="00000000">
          <w:rPr>
            <w:rFonts w:ascii="Handlee" w:cs="Handlee" w:eastAsia="Handlee" w:hAnsi="Handlee"/>
            <w:color w:val="1155cc"/>
            <w:sz w:val="24"/>
            <w:szCs w:val="24"/>
            <w:u w:val="single"/>
            <w:rtl w:val="0"/>
          </w:rPr>
          <w:t xml:space="preserve">Google Scholar</w:t>
        </w:r>
      </w:hyperlink>
      <w:r w:rsidDel="00000000" w:rsidR="00000000" w:rsidRPr="00000000">
        <w:rPr>
          <w:rFonts w:ascii="Handlee" w:cs="Handlee" w:eastAsia="Handlee" w:hAnsi="Handlee"/>
          <w:sz w:val="24"/>
          <w:szCs w:val="24"/>
          <w:rtl w:val="0"/>
        </w:rPr>
        <w:t xml:space="preserve"> is the same old Google search engine you know and love, with one important change--it ONLY searches scholarly, peer-reviewed, and published sources. That means Google weeds out the personal blogs and useless websites for you, leaving you with e-books, journal articles, and other credible sources with which to start your research. </w:t>
      </w:r>
    </w:p>
    <w:p w:rsidR="00000000" w:rsidDel="00000000" w:rsidP="00000000" w:rsidRDefault="00000000" w:rsidRPr="00000000" w14:paraId="00000021">
      <w:pPr>
        <w:pageBreakBefore w:val="0"/>
        <w:pBdr>
          <w:top w:space="0" w:sz="0" w:val="nil"/>
          <w:left w:space="0" w:sz="0" w:val="nil"/>
          <w:bottom w:space="0" w:sz="0" w:val="nil"/>
          <w:right w:space="0" w:sz="0" w:val="nil"/>
          <w:between w:space="0" w:sz="0" w:val="nil"/>
        </w:pBdr>
        <w:shd w:fill="auto" w:val="clear"/>
        <w:rPr>
          <w:rFonts w:ascii="Handlee" w:cs="Handlee" w:eastAsia="Handlee" w:hAnsi="Handlee"/>
          <w:sz w:val="24"/>
          <w:szCs w:val="24"/>
        </w:rPr>
      </w:pPr>
      <w:r w:rsidDel="00000000" w:rsidR="00000000" w:rsidRPr="00000000">
        <w:rPr>
          <w:rtl w:val="0"/>
        </w:rPr>
      </w:r>
    </w:p>
    <w:p w:rsidR="00000000" w:rsidDel="00000000" w:rsidP="00000000" w:rsidRDefault="00000000" w:rsidRPr="00000000" w14:paraId="00000022">
      <w:pPr>
        <w:pageBreakBefore w:val="0"/>
        <w:pBdr>
          <w:top w:space="0" w:sz="0" w:val="nil"/>
          <w:left w:space="0" w:sz="0" w:val="nil"/>
          <w:bottom w:space="0" w:sz="0" w:val="nil"/>
          <w:right w:space="0" w:sz="0" w:val="nil"/>
          <w:between w:space="0" w:sz="0" w:val="nil"/>
        </w:pBdr>
        <w:shd w:fill="auto" w:val="clear"/>
        <w:rPr>
          <w:rFonts w:ascii="Handlee" w:cs="Handlee" w:eastAsia="Handlee" w:hAnsi="Handlee"/>
          <w:sz w:val="24"/>
          <w:szCs w:val="24"/>
        </w:rPr>
      </w:pPr>
      <w:r w:rsidDel="00000000" w:rsidR="00000000" w:rsidRPr="00000000">
        <w:rPr>
          <w:rFonts w:ascii="Handlee" w:cs="Handlee" w:eastAsia="Handlee" w:hAnsi="Handlee"/>
          <w:sz w:val="24"/>
          <w:szCs w:val="24"/>
          <w:rtl w:val="0"/>
        </w:rPr>
        <w:t xml:space="preserve">In-text citations making your head spin? Not sure how to format your Works Cited page? Purdue OWL has your back. Their </w:t>
      </w:r>
      <w:hyperlink r:id="rId19">
        <w:r w:rsidDel="00000000" w:rsidR="00000000" w:rsidRPr="00000000">
          <w:rPr>
            <w:rFonts w:ascii="Handlee" w:cs="Handlee" w:eastAsia="Handlee" w:hAnsi="Handlee"/>
            <w:color w:val="1155cc"/>
            <w:sz w:val="24"/>
            <w:szCs w:val="24"/>
            <w:u w:val="single"/>
            <w:rtl w:val="0"/>
          </w:rPr>
          <w:t xml:space="preserve">MLA Formatting Guide</w:t>
        </w:r>
      </w:hyperlink>
      <w:r w:rsidDel="00000000" w:rsidR="00000000" w:rsidRPr="00000000">
        <w:rPr>
          <w:rFonts w:ascii="Handlee" w:cs="Handlee" w:eastAsia="Handlee" w:hAnsi="Handlee"/>
          <w:sz w:val="24"/>
          <w:szCs w:val="24"/>
          <w:rtl w:val="0"/>
        </w:rPr>
        <w:t xml:space="preserve"> gives you everything you need when it comes to handling your sources, particularly when it comes to formatting in-text citations and Works Cited pages. The guide also offers dozens of formatting examples from even the strangest sources, so whether you need to cite a single-author book or a pamphlet originally written in Mandarin Chinese, Purdue OWL will show you how to cite like a pro.</w:t>
      </w:r>
    </w:p>
    <w:p w:rsidR="00000000" w:rsidDel="00000000" w:rsidP="00000000" w:rsidRDefault="00000000" w:rsidRPr="00000000" w14:paraId="00000023">
      <w:pPr>
        <w:pageBreakBefore w:val="0"/>
        <w:pBdr>
          <w:top w:space="0" w:sz="0" w:val="nil"/>
          <w:left w:space="0" w:sz="0" w:val="nil"/>
          <w:bottom w:space="0" w:sz="0" w:val="nil"/>
          <w:right w:space="0" w:sz="0" w:val="nil"/>
          <w:between w:space="0" w:sz="0" w:val="nil"/>
        </w:pBdr>
        <w:shd w:fill="auto" w:val="clear"/>
        <w:rPr>
          <w:rFonts w:ascii="Handlee" w:cs="Handlee" w:eastAsia="Handlee" w:hAnsi="Handlee"/>
          <w:sz w:val="24"/>
          <w:szCs w:val="24"/>
        </w:rPr>
      </w:pPr>
      <w:r w:rsidDel="00000000" w:rsidR="00000000" w:rsidRPr="00000000">
        <w:rPr>
          <w:rtl w:val="0"/>
        </w:rPr>
      </w:r>
    </w:p>
    <w:p w:rsidR="00000000" w:rsidDel="00000000" w:rsidP="00000000" w:rsidRDefault="00000000" w:rsidRPr="00000000" w14:paraId="00000024">
      <w:pPr>
        <w:pageBreakBefore w:val="0"/>
        <w:pBdr>
          <w:top w:space="0" w:sz="0" w:val="nil"/>
          <w:left w:space="0" w:sz="0" w:val="nil"/>
          <w:bottom w:space="0" w:sz="0" w:val="nil"/>
          <w:right w:space="0" w:sz="0" w:val="nil"/>
          <w:between w:space="0" w:sz="0" w:val="nil"/>
        </w:pBdr>
        <w:shd w:fill="auto" w:val="clear"/>
        <w:rPr>
          <w:rFonts w:ascii="Handlee" w:cs="Handlee" w:eastAsia="Handlee" w:hAnsi="Handlee"/>
          <w:sz w:val="24"/>
          <w:szCs w:val="24"/>
        </w:rPr>
      </w:pPr>
      <w:r w:rsidDel="00000000" w:rsidR="00000000" w:rsidRPr="00000000">
        <w:rPr>
          <w:rFonts w:ascii="Handlee" w:cs="Handlee" w:eastAsia="Handlee" w:hAnsi="Handlee"/>
          <w:sz w:val="24"/>
          <w:szCs w:val="24"/>
          <w:rtl w:val="0"/>
        </w:rPr>
        <w:t xml:space="preserve">Encyclopedias can be a great general place to start your research, particularly if you haven’t quite narrowed down your topic yet. Many reputable encyclopedias are easily accessible online, including </w:t>
      </w:r>
      <w:hyperlink r:id="rId20">
        <w:r w:rsidDel="00000000" w:rsidR="00000000" w:rsidRPr="00000000">
          <w:rPr>
            <w:rFonts w:ascii="Handlee" w:cs="Handlee" w:eastAsia="Handlee" w:hAnsi="Handlee"/>
            <w:color w:val="1155cc"/>
            <w:sz w:val="24"/>
            <w:szCs w:val="24"/>
            <w:u w:val="single"/>
            <w:rtl w:val="0"/>
          </w:rPr>
          <w:t xml:space="preserve">Encyclopedia Britannica</w:t>
        </w:r>
      </w:hyperlink>
      <w:r w:rsidDel="00000000" w:rsidR="00000000" w:rsidRPr="00000000">
        <w:rPr>
          <w:rFonts w:ascii="Handlee" w:cs="Handlee" w:eastAsia="Handlee" w:hAnsi="Handlee"/>
          <w:sz w:val="24"/>
          <w:szCs w:val="24"/>
          <w:rtl w:val="0"/>
        </w:rPr>
        <w:t xml:space="preserve">. </w:t>
      </w:r>
      <w:hyperlink r:id="rId21">
        <w:r w:rsidDel="00000000" w:rsidR="00000000" w:rsidRPr="00000000">
          <w:rPr>
            <w:rFonts w:ascii="Handlee" w:cs="Handlee" w:eastAsia="Handlee" w:hAnsi="Handlee"/>
            <w:color w:val="1155cc"/>
            <w:sz w:val="24"/>
            <w:szCs w:val="24"/>
            <w:u w:val="single"/>
            <w:rtl w:val="0"/>
          </w:rPr>
          <w:t xml:space="preserve">Bartleby.com</w:t>
        </w:r>
      </w:hyperlink>
      <w:r w:rsidDel="00000000" w:rsidR="00000000" w:rsidRPr="00000000">
        <w:rPr>
          <w:rFonts w:ascii="Handlee" w:cs="Handlee" w:eastAsia="Handlee" w:hAnsi="Handlee"/>
          <w:sz w:val="24"/>
          <w:szCs w:val="24"/>
          <w:rtl w:val="0"/>
        </w:rPr>
        <w:t xml:space="preserve"> also provides searchable reference material, including quotes, Bible verses, and other nonfiction reference books.</w:t>
      </w:r>
    </w:p>
    <w:p w:rsidR="00000000" w:rsidDel="00000000" w:rsidP="00000000" w:rsidRDefault="00000000" w:rsidRPr="00000000" w14:paraId="00000025">
      <w:pPr>
        <w:pageBreakBefore w:val="0"/>
        <w:pBdr>
          <w:top w:space="0" w:sz="0" w:val="nil"/>
          <w:left w:space="0" w:sz="0" w:val="nil"/>
          <w:bottom w:space="0" w:sz="0" w:val="nil"/>
          <w:right w:space="0" w:sz="0" w:val="nil"/>
          <w:between w:space="0" w:sz="0" w:val="nil"/>
        </w:pBdr>
        <w:shd w:fill="auto" w:val="clear"/>
        <w:rPr>
          <w:rFonts w:ascii="Handlee" w:cs="Handlee" w:eastAsia="Handlee" w:hAnsi="Handlee"/>
          <w:sz w:val="24"/>
          <w:szCs w:val="24"/>
        </w:rPr>
      </w:pPr>
      <w:r w:rsidDel="00000000" w:rsidR="00000000" w:rsidRPr="00000000">
        <w:rPr>
          <w:rtl w:val="0"/>
        </w:rPr>
      </w:r>
    </w:p>
    <w:p w:rsidR="00000000" w:rsidDel="00000000" w:rsidP="00000000" w:rsidRDefault="00000000" w:rsidRPr="00000000" w14:paraId="00000026">
      <w:pPr>
        <w:pageBreakBefore w:val="0"/>
        <w:pBdr>
          <w:top w:space="0" w:sz="0" w:val="nil"/>
          <w:left w:space="0" w:sz="0" w:val="nil"/>
          <w:bottom w:space="0" w:sz="0" w:val="nil"/>
          <w:right w:space="0" w:sz="0" w:val="nil"/>
          <w:between w:space="0" w:sz="0" w:val="nil"/>
        </w:pBdr>
        <w:shd w:fill="auto" w:val="clear"/>
        <w:rPr>
          <w:rFonts w:ascii="Luckiest Guy" w:cs="Luckiest Guy" w:eastAsia="Luckiest Guy" w:hAnsi="Luckiest Guy"/>
          <w:sz w:val="24"/>
          <w:szCs w:val="24"/>
        </w:rPr>
      </w:pPr>
      <w:r w:rsidDel="00000000" w:rsidR="00000000" w:rsidRPr="00000000">
        <w:rPr>
          <w:rFonts w:ascii="Luckiest Guy" w:cs="Luckiest Guy" w:eastAsia="Luckiest Guy" w:hAnsi="Luckiest Guy"/>
          <w:sz w:val="24"/>
          <w:szCs w:val="24"/>
          <w:rtl w:val="0"/>
        </w:rPr>
        <w:t xml:space="preserve">World languages</w:t>
      </w:r>
    </w:p>
    <w:p w:rsidR="00000000" w:rsidDel="00000000" w:rsidP="00000000" w:rsidRDefault="00000000" w:rsidRPr="00000000" w14:paraId="00000027">
      <w:pPr>
        <w:pageBreakBefore w:val="0"/>
        <w:pBdr>
          <w:top w:space="0" w:sz="0" w:val="nil"/>
          <w:left w:space="0" w:sz="0" w:val="nil"/>
          <w:bottom w:space="0" w:sz="0" w:val="nil"/>
          <w:right w:space="0" w:sz="0" w:val="nil"/>
          <w:between w:space="0" w:sz="0" w:val="nil"/>
        </w:pBdr>
        <w:shd w:fill="auto" w:val="clear"/>
        <w:rPr>
          <w:rFonts w:ascii="Handlee" w:cs="Handlee" w:eastAsia="Handlee" w:hAnsi="Handlee"/>
          <w:sz w:val="24"/>
          <w:szCs w:val="24"/>
        </w:rPr>
      </w:pPr>
      <w:r w:rsidDel="00000000" w:rsidR="00000000" w:rsidRPr="00000000">
        <w:rPr>
          <w:rFonts w:ascii="Handlee" w:cs="Handlee" w:eastAsia="Handlee" w:hAnsi="Handlee"/>
          <w:sz w:val="24"/>
          <w:szCs w:val="24"/>
          <w:rtl w:val="0"/>
        </w:rPr>
        <w:t xml:space="preserve">Need some extra help in French or Spanish? Check out </w:t>
      </w:r>
      <w:hyperlink r:id="rId22">
        <w:r w:rsidDel="00000000" w:rsidR="00000000" w:rsidRPr="00000000">
          <w:rPr>
            <w:rFonts w:ascii="Handlee" w:cs="Handlee" w:eastAsia="Handlee" w:hAnsi="Handlee"/>
            <w:color w:val="1155cc"/>
            <w:sz w:val="24"/>
            <w:szCs w:val="24"/>
            <w:u w:val="single"/>
            <w:rtl w:val="0"/>
          </w:rPr>
          <w:t xml:space="preserve">Conjuguemos</w:t>
        </w:r>
      </w:hyperlink>
      <w:r w:rsidDel="00000000" w:rsidR="00000000" w:rsidRPr="00000000">
        <w:rPr>
          <w:rFonts w:ascii="Handlee" w:cs="Handlee" w:eastAsia="Handlee" w:hAnsi="Handlee"/>
          <w:sz w:val="24"/>
          <w:szCs w:val="24"/>
          <w:rtl w:val="0"/>
        </w:rPr>
        <w:t xml:space="preserve">, where you can practice verbs, vocabulary, and grammar in the language of your choice. Certain languages, like Spanish, even have additional interactive activities and listening exercises to help you master your world language class.</w:t>
      </w:r>
    </w:p>
    <w:p w:rsidR="00000000" w:rsidDel="00000000" w:rsidP="00000000" w:rsidRDefault="00000000" w:rsidRPr="00000000" w14:paraId="00000028">
      <w:pPr>
        <w:pageBreakBefore w:val="0"/>
        <w:pBdr>
          <w:top w:space="0" w:sz="0" w:val="nil"/>
          <w:left w:space="0" w:sz="0" w:val="nil"/>
          <w:bottom w:space="0" w:sz="0" w:val="nil"/>
          <w:right w:space="0" w:sz="0" w:val="nil"/>
          <w:between w:space="0" w:sz="0" w:val="nil"/>
        </w:pBdr>
        <w:shd w:fill="auto" w:val="clear"/>
        <w:rPr>
          <w:rFonts w:ascii="Handlee" w:cs="Handlee" w:eastAsia="Handlee" w:hAnsi="Handlee"/>
          <w:sz w:val="24"/>
          <w:szCs w:val="24"/>
        </w:rPr>
      </w:pPr>
      <w:r w:rsidDel="00000000" w:rsidR="00000000" w:rsidRPr="00000000">
        <w:rPr>
          <w:rtl w:val="0"/>
        </w:rPr>
      </w:r>
    </w:p>
    <w:p w:rsidR="00000000" w:rsidDel="00000000" w:rsidP="00000000" w:rsidRDefault="00000000" w:rsidRPr="00000000" w14:paraId="00000029">
      <w:pPr>
        <w:pageBreakBefore w:val="0"/>
        <w:pBdr>
          <w:top w:space="0" w:sz="0" w:val="nil"/>
          <w:left w:space="0" w:sz="0" w:val="nil"/>
          <w:bottom w:space="0" w:sz="0" w:val="nil"/>
          <w:right w:space="0" w:sz="0" w:val="nil"/>
          <w:between w:space="0" w:sz="0" w:val="nil"/>
        </w:pBdr>
        <w:shd w:fill="auto" w:val="clear"/>
        <w:rPr>
          <w:rFonts w:ascii="Luckiest Guy" w:cs="Luckiest Guy" w:eastAsia="Luckiest Guy" w:hAnsi="Luckiest Guy"/>
          <w:sz w:val="24"/>
          <w:szCs w:val="24"/>
        </w:rPr>
      </w:pPr>
      <w:r w:rsidDel="00000000" w:rsidR="00000000" w:rsidRPr="00000000">
        <w:rPr>
          <w:rFonts w:ascii="Luckiest Guy" w:cs="Luckiest Guy" w:eastAsia="Luckiest Guy" w:hAnsi="Luckiest Guy"/>
          <w:sz w:val="24"/>
          <w:szCs w:val="24"/>
          <w:rtl w:val="0"/>
        </w:rPr>
        <w:t xml:space="preserve">Organization &amp; time management</w:t>
      </w:r>
    </w:p>
    <w:p w:rsidR="00000000" w:rsidDel="00000000" w:rsidP="00000000" w:rsidRDefault="00000000" w:rsidRPr="00000000" w14:paraId="0000002A">
      <w:pPr>
        <w:pageBreakBefore w:val="0"/>
        <w:pBdr>
          <w:top w:space="0" w:sz="0" w:val="nil"/>
          <w:left w:space="0" w:sz="0" w:val="nil"/>
          <w:bottom w:space="0" w:sz="0" w:val="nil"/>
          <w:right w:space="0" w:sz="0" w:val="nil"/>
          <w:between w:space="0" w:sz="0" w:val="nil"/>
        </w:pBdr>
        <w:shd w:fill="auto" w:val="clear"/>
        <w:rPr>
          <w:rFonts w:ascii="Handlee" w:cs="Handlee" w:eastAsia="Handlee" w:hAnsi="Handlee"/>
          <w:sz w:val="24"/>
          <w:szCs w:val="24"/>
        </w:rPr>
      </w:pPr>
      <w:r w:rsidDel="00000000" w:rsidR="00000000" w:rsidRPr="00000000">
        <w:rPr>
          <w:rFonts w:ascii="Handlee" w:cs="Handlee" w:eastAsia="Handlee" w:hAnsi="Handlee"/>
          <w:sz w:val="24"/>
          <w:szCs w:val="24"/>
          <w:rtl w:val="0"/>
        </w:rPr>
        <w:t xml:space="preserve">While using your BJS planner is an excellent way to stay organized and on top of your classes, sometimes those planners get left in lockers, lost, or forgotten at home. If you’re looking for an electronic version, give </w:t>
      </w:r>
      <w:hyperlink r:id="rId23">
        <w:r w:rsidDel="00000000" w:rsidR="00000000" w:rsidRPr="00000000">
          <w:rPr>
            <w:rFonts w:ascii="Handlee" w:cs="Handlee" w:eastAsia="Handlee" w:hAnsi="Handlee"/>
            <w:color w:val="1155cc"/>
            <w:sz w:val="24"/>
            <w:szCs w:val="24"/>
            <w:u w:val="single"/>
            <w:rtl w:val="0"/>
          </w:rPr>
          <w:t xml:space="preserve">Toodledo</w:t>
        </w:r>
      </w:hyperlink>
      <w:r w:rsidDel="00000000" w:rsidR="00000000" w:rsidRPr="00000000">
        <w:rPr>
          <w:rFonts w:ascii="Handlee" w:cs="Handlee" w:eastAsia="Handlee" w:hAnsi="Handlee"/>
          <w:sz w:val="24"/>
          <w:szCs w:val="24"/>
          <w:rtl w:val="0"/>
        </w:rPr>
        <w:t xml:space="preserve"> a try. It lets you create custom task lists (homework, chores, extracurricular activities), mark tasks with importance ratings, track due dates, write and keep notes, and more. Best of all, it syncs across all your devices so you always have access.</w:t>
      </w:r>
    </w:p>
    <w:p w:rsidR="00000000" w:rsidDel="00000000" w:rsidP="00000000" w:rsidRDefault="00000000" w:rsidRPr="00000000" w14:paraId="0000002B">
      <w:pPr>
        <w:pageBreakBefore w:val="0"/>
        <w:pBdr>
          <w:top w:space="0" w:sz="0" w:val="nil"/>
          <w:left w:space="0" w:sz="0" w:val="nil"/>
          <w:bottom w:space="0" w:sz="0" w:val="nil"/>
          <w:right w:space="0" w:sz="0" w:val="nil"/>
          <w:between w:space="0" w:sz="0" w:val="nil"/>
        </w:pBdr>
        <w:shd w:fill="auto" w:val="clear"/>
        <w:rPr>
          <w:rFonts w:ascii="Handlee" w:cs="Handlee" w:eastAsia="Handlee" w:hAnsi="Handlee"/>
          <w:sz w:val="24"/>
          <w:szCs w:val="24"/>
        </w:rPr>
      </w:pPr>
      <w:r w:rsidDel="00000000" w:rsidR="00000000" w:rsidRPr="00000000">
        <w:rPr>
          <w:rtl w:val="0"/>
        </w:rPr>
      </w:r>
    </w:p>
    <w:p w:rsidR="00000000" w:rsidDel="00000000" w:rsidP="00000000" w:rsidRDefault="00000000" w:rsidRPr="00000000" w14:paraId="0000002C">
      <w:pPr>
        <w:pageBreakBefore w:val="0"/>
        <w:pBdr>
          <w:top w:space="0" w:sz="0" w:val="nil"/>
          <w:left w:space="0" w:sz="0" w:val="nil"/>
          <w:bottom w:space="0" w:sz="0" w:val="nil"/>
          <w:right w:space="0" w:sz="0" w:val="nil"/>
          <w:between w:space="0" w:sz="0" w:val="nil"/>
        </w:pBdr>
        <w:shd w:fill="auto" w:val="clear"/>
        <w:rPr>
          <w:rFonts w:ascii="Luckiest Guy" w:cs="Luckiest Guy" w:eastAsia="Luckiest Guy" w:hAnsi="Luckiest Guy"/>
          <w:sz w:val="24"/>
          <w:szCs w:val="24"/>
        </w:rPr>
      </w:pPr>
      <w:r w:rsidDel="00000000" w:rsidR="00000000" w:rsidRPr="00000000">
        <w:rPr>
          <w:rFonts w:ascii="Luckiest Guy" w:cs="Luckiest Guy" w:eastAsia="Luckiest Guy" w:hAnsi="Luckiest Guy"/>
          <w:sz w:val="24"/>
          <w:szCs w:val="24"/>
          <w:rtl w:val="0"/>
        </w:rPr>
        <w:t xml:space="preserve">Enrichment</w:t>
      </w:r>
    </w:p>
    <w:p w:rsidR="00000000" w:rsidDel="00000000" w:rsidP="00000000" w:rsidRDefault="00000000" w:rsidRPr="00000000" w14:paraId="0000002D">
      <w:pPr>
        <w:pageBreakBefore w:val="0"/>
        <w:pBdr>
          <w:top w:space="0" w:sz="0" w:val="nil"/>
          <w:left w:space="0" w:sz="0" w:val="nil"/>
          <w:bottom w:space="0" w:sz="0" w:val="nil"/>
          <w:right w:space="0" w:sz="0" w:val="nil"/>
          <w:between w:space="0" w:sz="0" w:val="nil"/>
        </w:pBdr>
        <w:shd w:fill="auto" w:val="clear"/>
        <w:rPr>
          <w:rFonts w:ascii="Handlee" w:cs="Handlee" w:eastAsia="Handlee" w:hAnsi="Handlee"/>
          <w:sz w:val="24"/>
          <w:szCs w:val="24"/>
        </w:rPr>
      </w:pPr>
      <w:hyperlink r:id="rId24">
        <w:r w:rsidDel="00000000" w:rsidR="00000000" w:rsidRPr="00000000">
          <w:rPr>
            <w:rFonts w:ascii="Handlee" w:cs="Handlee" w:eastAsia="Handlee" w:hAnsi="Handlee"/>
            <w:color w:val="1155cc"/>
            <w:sz w:val="24"/>
            <w:szCs w:val="24"/>
            <w:u w:val="single"/>
            <w:rtl w:val="0"/>
          </w:rPr>
          <w:t xml:space="preserve">Ted Ed</w:t>
        </w:r>
      </w:hyperlink>
      <w:r w:rsidDel="00000000" w:rsidR="00000000" w:rsidRPr="00000000">
        <w:rPr>
          <w:rFonts w:ascii="Handlee" w:cs="Handlee" w:eastAsia="Handlee" w:hAnsi="Handlee"/>
          <w:sz w:val="24"/>
          <w:szCs w:val="24"/>
          <w:rtl w:val="0"/>
        </w:rPr>
        <w:t xml:space="preserve"> is a place where animators from around the world bring to life mini-lessons from some of the world’s top researchers, educators, scientists, and historians. Learn about ancient Greek theater, how to properly use commas, or the history of bacteria through short animated videos. Browse through their video collection--you might just find something useful to one of your current classes!</w:t>
      </w:r>
    </w:p>
    <w:p w:rsidR="00000000" w:rsidDel="00000000" w:rsidP="00000000" w:rsidRDefault="00000000" w:rsidRPr="00000000" w14:paraId="0000002E">
      <w:pPr>
        <w:pageBreakBefore w:val="0"/>
        <w:pBdr>
          <w:top w:space="0" w:sz="0" w:val="nil"/>
          <w:left w:space="0" w:sz="0" w:val="nil"/>
          <w:bottom w:space="0" w:sz="0" w:val="nil"/>
          <w:right w:space="0" w:sz="0" w:val="nil"/>
          <w:between w:space="0" w:sz="0" w:val="nil"/>
        </w:pBdr>
        <w:shd w:fill="auto" w:val="clear"/>
        <w:rPr>
          <w:rFonts w:ascii="Handlee" w:cs="Handlee" w:eastAsia="Handlee" w:hAnsi="Handlee"/>
          <w:sz w:val="24"/>
          <w:szCs w:val="24"/>
        </w:rPr>
      </w:pPr>
      <w:r w:rsidDel="00000000" w:rsidR="00000000" w:rsidRPr="00000000">
        <w:rPr>
          <w:rtl w:val="0"/>
        </w:rPr>
      </w:r>
    </w:p>
    <w:p w:rsidR="00000000" w:rsidDel="00000000" w:rsidP="00000000" w:rsidRDefault="00000000" w:rsidRPr="00000000" w14:paraId="0000002F">
      <w:pPr>
        <w:pageBreakBefore w:val="0"/>
        <w:pBdr>
          <w:top w:space="0" w:sz="0" w:val="nil"/>
          <w:left w:space="0" w:sz="0" w:val="nil"/>
          <w:bottom w:space="0" w:sz="0" w:val="nil"/>
          <w:right w:space="0" w:sz="0" w:val="nil"/>
          <w:between w:space="0" w:sz="0" w:val="nil"/>
        </w:pBdr>
        <w:shd w:fill="auto" w:val="clear"/>
        <w:rPr>
          <w:rFonts w:ascii="Handlee" w:cs="Handlee" w:eastAsia="Handlee" w:hAnsi="Handlee"/>
          <w:sz w:val="24"/>
          <w:szCs w:val="24"/>
        </w:rPr>
      </w:pPr>
      <w:r w:rsidDel="00000000" w:rsidR="00000000" w:rsidRPr="00000000">
        <w:rPr>
          <w:rFonts w:ascii="Handlee" w:cs="Handlee" w:eastAsia="Handlee" w:hAnsi="Handlee"/>
          <w:sz w:val="24"/>
          <w:szCs w:val="24"/>
          <w:rtl w:val="0"/>
        </w:rPr>
        <w:t xml:space="preserve">Narrated by award-winning author John Green, the </w:t>
      </w:r>
      <w:hyperlink r:id="rId25">
        <w:r w:rsidDel="00000000" w:rsidR="00000000" w:rsidRPr="00000000">
          <w:rPr>
            <w:rFonts w:ascii="Handlee" w:cs="Handlee" w:eastAsia="Handlee" w:hAnsi="Handlee"/>
            <w:color w:val="1155cc"/>
            <w:sz w:val="24"/>
            <w:szCs w:val="24"/>
            <w:u w:val="single"/>
            <w:rtl w:val="0"/>
          </w:rPr>
          <w:t xml:space="preserve">Crash Course</w:t>
        </w:r>
      </w:hyperlink>
      <w:r w:rsidDel="00000000" w:rsidR="00000000" w:rsidRPr="00000000">
        <w:rPr>
          <w:rFonts w:ascii="Handlee" w:cs="Handlee" w:eastAsia="Handlee" w:hAnsi="Handlee"/>
          <w:sz w:val="24"/>
          <w:szCs w:val="24"/>
          <w:rtl w:val="0"/>
        </w:rPr>
        <w:t xml:space="preserve"> series of YouTube videos offers interesting and informative videos on everything from history, science, philosophy, medicine, psychology, and even literary theory. Check out these videos for a quick recap of something you’ve covered in class, or search for one that fits your own interests.</w:t>
      </w:r>
    </w:p>
    <w:p w:rsidR="00000000" w:rsidDel="00000000" w:rsidP="00000000" w:rsidRDefault="00000000" w:rsidRPr="00000000" w14:paraId="00000030">
      <w:pPr>
        <w:pageBreakBefore w:val="0"/>
        <w:pBdr>
          <w:top w:space="0" w:sz="0" w:val="nil"/>
          <w:left w:space="0" w:sz="0" w:val="nil"/>
          <w:bottom w:space="0" w:sz="0" w:val="nil"/>
          <w:right w:space="0" w:sz="0" w:val="nil"/>
          <w:between w:space="0" w:sz="0" w:val="nil"/>
        </w:pBdr>
        <w:shd w:fill="auto" w:val="clear"/>
        <w:rPr>
          <w:rFonts w:ascii="Handlee" w:cs="Handlee" w:eastAsia="Handlee" w:hAnsi="Handlee"/>
          <w:sz w:val="24"/>
          <w:szCs w:val="24"/>
        </w:rPr>
      </w:pPr>
      <w:r w:rsidDel="00000000" w:rsidR="00000000" w:rsidRPr="00000000">
        <w:rPr>
          <w:rtl w:val="0"/>
        </w:rPr>
      </w:r>
    </w:p>
    <w:p w:rsidR="00000000" w:rsidDel="00000000" w:rsidP="00000000" w:rsidRDefault="00000000" w:rsidRPr="00000000" w14:paraId="00000031">
      <w:pPr>
        <w:pageBreakBefore w:val="0"/>
        <w:pBdr>
          <w:top w:space="0" w:sz="0" w:val="nil"/>
          <w:left w:space="0" w:sz="0" w:val="nil"/>
          <w:bottom w:space="0" w:sz="0" w:val="nil"/>
          <w:right w:space="0" w:sz="0" w:val="nil"/>
          <w:between w:space="0" w:sz="0" w:val="nil"/>
        </w:pBdr>
        <w:shd w:fill="auto" w:val="clear"/>
        <w:rPr>
          <w:rFonts w:ascii="Handlee" w:cs="Handlee" w:eastAsia="Handlee" w:hAnsi="Handlee"/>
          <w:sz w:val="24"/>
          <w:szCs w:val="24"/>
        </w:rPr>
      </w:pPr>
      <w:hyperlink r:id="rId26">
        <w:r w:rsidDel="00000000" w:rsidR="00000000" w:rsidRPr="00000000">
          <w:rPr>
            <w:rFonts w:ascii="Handlee" w:cs="Handlee" w:eastAsia="Handlee" w:hAnsi="Handlee"/>
            <w:color w:val="1155cc"/>
            <w:sz w:val="24"/>
            <w:szCs w:val="24"/>
            <w:u w:val="single"/>
            <w:rtl w:val="0"/>
          </w:rPr>
          <w:t xml:space="preserve">WatchKnowLearn</w:t>
        </w:r>
      </w:hyperlink>
      <w:r w:rsidDel="00000000" w:rsidR="00000000" w:rsidRPr="00000000">
        <w:rPr>
          <w:rFonts w:ascii="Handlee" w:cs="Handlee" w:eastAsia="Handlee" w:hAnsi="Handlee"/>
          <w:sz w:val="24"/>
          <w:szCs w:val="24"/>
          <w:rtl w:val="0"/>
        </w:rPr>
        <w:t xml:space="preserve"> is another database of videos and clips from categories like social studies, art, world languages, philosophy, hobbies and crafts, and even vocations and career development. Click a category that interests you and browse through their videos to learn something new!</w:t>
      </w:r>
    </w:p>
    <w:p w:rsidR="00000000" w:rsidDel="00000000" w:rsidP="00000000" w:rsidRDefault="00000000" w:rsidRPr="00000000" w14:paraId="00000032">
      <w:pPr>
        <w:pageBreakBefore w:val="0"/>
        <w:pBdr>
          <w:top w:space="0" w:sz="0" w:val="nil"/>
          <w:left w:space="0" w:sz="0" w:val="nil"/>
          <w:bottom w:space="0" w:sz="0" w:val="nil"/>
          <w:right w:space="0" w:sz="0" w:val="nil"/>
          <w:between w:space="0" w:sz="0" w:val="nil"/>
        </w:pBdr>
        <w:shd w:fill="auto" w:val="clear"/>
        <w:rPr>
          <w:rFonts w:ascii="Handlee" w:cs="Handlee" w:eastAsia="Handlee" w:hAnsi="Handlee"/>
          <w:sz w:val="24"/>
          <w:szCs w:val="24"/>
        </w:rPr>
      </w:pPr>
      <w:r w:rsidDel="00000000" w:rsidR="00000000" w:rsidRPr="00000000">
        <w:rPr>
          <w:rtl w:val="0"/>
        </w:rPr>
      </w:r>
    </w:p>
    <w:p w:rsidR="00000000" w:rsidDel="00000000" w:rsidP="00000000" w:rsidRDefault="00000000" w:rsidRPr="00000000" w14:paraId="00000033">
      <w:pPr>
        <w:pageBreakBefore w:val="0"/>
        <w:pBdr>
          <w:top w:space="0" w:sz="0" w:val="nil"/>
          <w:left w:space="0" w:sz="0" w:val="nil"/>
          <w:bottom w:space="0" w:sz="0" w:val="nil"/>
          <w:right w:space="0" w:sz="0" w:val="nil"/>
          <w:between w:space="0" w:sz="0" w:val="nil"/>
        </w:pBdr>
        <w:shd w:fill="auto" w:val="clear"/>
        <w:rPr>
          <w:rFonts w:ascii="Luckiest Guy" w:cs="Luckiest Guy" w:eastAsia="Luckiest Guy" w:hAnsi="Luckiest Guy"/>
          <w:sz w:val="24"/>
          <w:szCs w:val="24"/>
        </w:rPr>
      </w:pPr>
      <w:r w:rsidDel="00000000" w:rsidR="00000000" w:rsidRPr="00000000">
        <w:rPr>
          <w:rFonts w:ascii="Luckiest Guy" w:cs="Luckiest Guy" w:eastAsia="Luckiest Guy" w:hAnsi="Luckiest Guy"/>
          <w:sz w:val="24"/>
          <w:szCs w:val="24"/>
          <w:rtl w:val="0"/>
        </w:rPr>
        <w:t xml:space="preserve">Ready for college</w:t>
      </w:r>
    </w:p>
    <w:p w:rsidR="00000000" w:rsidDel="00000000" w:rsidP="00000000" w:rsidRDefault="00000000" w:rsidRPr="00000000" w14:paraId="00000034">
      <w:pPr>
        <w:pageBreakBefore w:val="0"/>
        <w:pBdr>
          <w:top w:space="0" w:sz="0" w:val="nil"/>
          <w:left w:space="0" w:sz="0" w:val="nil"/>
          <w:bottom w:space="0" w:sz="0" w:val="nil"/>
          <w:right w:space="0" w:sz="0" w:val="nil"/>
          <w:between w:space="0" w:sz="0" w:val="nil"/>
        </w:pBdr>
        <w:shd w:fill="auto" w:val="clear"/>
        <w:rPr>
          <w:rFonts w:ascii="Handlee" w:cs="Handlee" w:eastAsia="Handlee" w:hAnsi="Handlee"/>
          <w:sz w:val="24"/>
          <w:szCs w:val="24"/>
        </w:rPr>
      </w:pPr>
      <w:r w:rsidDel="00000000" w:rsidR="00000000" w:rsidRPr="00000000">
        <w:rPr>
          <w:rFonts w:ascii="Handlee" w:cs="Handlee" w:eastAsia="Handlee" w:hAnsi="Handlee"/>
          <w:sz w:val="24"/>
          <w:szCs w:val="24"/>
          <w:rtl w:val="0"/>
        </w:rPr>
        <w:t xml:space="preserve">For those of you looking ahead to life after BJS, check out College Board’s </w:t>
      </w:r>
      <w:hyperlink r:id="rId27">
        <w:r w:rsidDel="00000000" w:rsidR="00000000" w:rsidRPr="00000000">
          <w:rPr>
            <w:rFonts w:ascii="Handlee" w:cs="Handlee" w:eastAsia="Handlee" w:hAnsi="Handlee"/>
            <w:color w:val="1155cc"/>
            <w:sz w:val="24"/>
            <w:szCs w:val="24"/>
            <w:u w:val="single"/>
            <w:rtl w:val="0"/>
          </w:rPr>
          <w:t xml:space="preserve">Big Future</w:t>
        </w:r>
      </w:hyperlink>
      <w:r w:rsidDel="00000000" w:rsidR="00000000" w:rsidRPr="00000000">
        <w:rPr>
          <w:rFonts w:ascii="Handlee" w:cs="Handlee" w:eastAsia="Handlee" w:hAnsi="Handlee"/>
          <w:sz w:val="24"/>
          <w:szCs w:val="24"/>
          <w:rtl w:val="0"/>
        </w:rPr>
        <w:t xml:space="preserve"> website. It lets you search for colleges, explore career paths, understand financial aid, research standardized tests like the SAT, and create a plan to help get you from high school student to college graduate. </w:t>
      </w:r>
    </w:p>
    <w:p w:rsidR="00000000" w:rsidDel="00000000" w:rsidP="00000000" w:rsidRDefault="00000000" w:rsidRPr="00000000" w14:paraId="0000003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sectPr>
      <w:headerReference r:id="rId28"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 w:name="Luckiest Guy">
    <w:embedRegular w:fontKey="{00000000-0000-0000-0000-000000000000}" r:id="rId1" w:subsetted="0"/>
  </w:font>
  <w:font w:name="Handlee">
    <w:embedRegular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3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www.britannica.com/" TargetMode="External"/><Relationship Id="rId22" Type="http://schemas.openxmlformats.org/officeDocument/2006/relationships/hyperlink" Target="https://conjuguemos.com/index.php" TargetMode="External"/><Relationship Id="rId21" Type="http://schemas.openxmlformats.org/officeDocument/2006/relationships/hyperlink" Target="http://www.bartleby.com/" TargetMode="External"/><Relationship Id="rId24" Type="http://schemas.openxmlformats.org/officeDocument/2006/relationships/hyperlink" Target="http://ed.ted.com/" TargetMode="External"/><Relationship Id="rId23" Type="http://schemas.openxmlformats.org/officeDocument/2006/relationships/hyperlink" Target="https://www.toodledo.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math.com/" TargetMode="External"/><Relationship Id="rId26" Type="http://schemas.openxmlformats.org/officeDocument/2006/relationships/hyperlink" Target="http://www.watchknowlearn.org/" TargetMode="External"/><Relationship Id="rId25" Type="http://schemas.openxmlformats.org/officeDocument/2006/relationships/hyperlink" Target="https://www.youtube.com/user/crashcourse" TargetMode="External"/><Relationship Id="rId28" Type="http://schemas.openxmlformats.org/officeDocument/2006/relationships/header" Target="header1.xml"/><Relationship Id="rId27" Type="http://schemas.openxmlformats.org/officeDocument/2006/relationships/hyperlink" Target="https://bigfuture.collegeboard.org/" TargetMode="External"/><Relationship Id="rId5" Type="http://schemas.openxmlformats.org/officeDocument/2006/relationships/styles" Target="styles.xml"/><Relationship Id="rId6" Type="http://schemas.openxmlformats.org/officeDocument/2006/relationships/hyperlink" Target="http://magoosh.com/hs/college-admissions/college-life/2014/top-20-free-apps-for-high-school-and-college-students/" TargetMode="External"/><Relationship Id="rId7" Type="http://schemas.openxmlformats.org/officeDocument/2006/relationships/hyperlink" Target="http://www.jaxpubliclibrary.org/kids-teens/teens/homework-help" TargetMode="External"/><Relationship Id="rId8" Type="http://schemas.openxmlformats.org/officeDocument/2006/relationships/hyperlink" Target="https://www.khanacademy.org/" TargetMode="External"/><Relationship Id="rId11" Type="http://schemas.openxmlformats.org/officeDocument/2006/relationships/hyperlink" Target="https://owl.english.purdue.edu/owl/" TargetMode="External"/><Relationship Id="rId10" Type="http://schemas.openxmlformats.org/officeDocument/2006/relationships/hyperlink" Target="https://nces.ed.gov/nceskids/createagraph/" TargetMode="External"/><Relationship Id="rId13" Type="http://schemas.openxmlformats.org/officeDocument/2006/relationships/hyperlink" Target="http://www.thesaurus.com/" TargetMode="External"/><Relationship Id="rId12" Type="http://schemas.openxmlformats.org/officeDocument/2006/relationships/hyperlink" Target="http://www.dictionary.com/" TargetMode="External"/><Relationship Id="rId15" Type="http://schemas.openxmlformats.org/officeDocument/2006/relationships/hyperlink" Target="https://www.gutenberg.org/" TargetMode="External"/><Relationship Id="rId14" Type="http://schemas.openxmlformats.org/officeDocument/2006/relationships/hyperlink" Target="https://librivox.org/" TargetMode="External"/><Relationship Id="rId17" Type="http://schemas.openxmlformats.org/officeDocument/2006/relationships/hyperlink" Target="http://www.aresearchguide.com/" TargetMode="External"/><Relationship Id="rId16" Type="http://schemas.openxmlformats.org/officeDocument/2006/relationships/hyperlink" Target="http://www.readprint.com/" TargetMode="External"/><Relationship Id="rId19" Type="http://schemas.openxmlformats.org/officeDocument/2006/relationships/hyperlink" Target="https://owl.english.purdue.edu/owl/resource/747/01/" TargetMode="External"/><Relationship Id="rId18" Type="http://schemas.openxmlformats.org/officeDocument/2006/relationships/hyperlink" Target="http://scholar.google.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uckiestGuy-regular.ttf"/><Relationship Id="rId2" Type="http://schemas.openxmlformats.org/officeDocument/2006/relationships/font" Target="fonts/Handlee-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