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AE49105" w:rsidP="4AE49105" w:rsidRDefault="4AE49105" w14:noSpellErr="1" w14:paraId="239E449F" w14:textId="51A4EF65">
      <w:pPr>
        <w:pStyle w:val="ListBullet"/>
        <w:numPr>
          <w:numId w:val="0"/>
        </w:numPr>
        <w:ind w:left="0" w:right="0"/>
        <w:rPr>
          <w:rFonts w:ascii="Arial" w:hAnsi="Arial" w:eastAsia="Arial" w:cs="Arial"/>
          <w:noProof w:val="0"/>
          <w:color w:val="262626" w:themeColor="text1" w:themeTint="D9" w:themeShade="FF"/>
          <w:sz w:val="40"/>
          <w:szCs w:val="4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262626" w:themeColor="text1" w:themeTint="D9" w:themeShade="FF"/>
          <w:sz w:val="40"/>
          <w:szCs w:val="40"/>
          <w:lang w:val="en-US"/>
        </w:rPr>
        <w:t>Compensation Review – Committee Report</w:t>
      </w:r>
    </w:p>
    <w:p w:rsidR="4AE49105" w:rsidP="4AE49105" w:rsidRDefault="4AE49105" w14:noSpellErr="1" w14:paraId="7630F547" w14:textId="15816A76">
      <w:pPr>
        <w:spacing w:line="375" w:lineRule="exact"/>
        <w:ind w:left="0"/>
        <w:rPr>
          <w:rFonts w:ascii="Arial" w:hAnsi="Arial" w:eastAsia="Arial" w:cs="Arial"/>
          <w:noProof w:val="0"/>
          <w:sz w:val="30"/>
          <w:szCs w:val="30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30"/>
          <w:szCs w:val="30"/>
          <w:lang w:val="en-US"/>
        </w:rPr>
        <w:t>August 7, 2017 BOD Meeting</w:t>
      </w:r>
    </w:p>
    <w:p w:rsidR="4AE49105" w:rsidP="4AE49105" w:rsidRDefault="4AE49105" w14:noSpellErr="1" w14:paraId="5D1C5F10" w14:textId="2B67758B">
      <w:pPr>
        <w:spacing w:line="375" w:lineRule="exact"/>
        <w:ind w:left="0"/>
        <w:rPr>
          <w:rFonts w:ascii="Arial" w:hAnsi="Arial" w:eastAsia="Arial" w:cs="Arial"/>
          <w:noProof w:val="0"/>
          <w:sz w:val="30"/>
          <w:szCs w:val="30"/>
          <w:lang w:val="en-US"/>
        </w:rPr>
      </w:pPr>
      <w:r w:rsidRPr="4AE49105" w:rsidR="4AE49105">
        <w:rPr>
          <w:rFonts w:ascii="Arial" w:hAnsi="Arial" w:eastAsia="Arial" w:cs="Arial"/>
          <w:i w:val="1"/>
          <w:iCs w:val="1"/>
          <w:noProof w:val="0"/>
          <w:color w:val="595959" w:themeColor="text1" w:themeTint="A6" w:themeShade="FF"/>
          <w:sz w:val="30"/>
          <w:szCs w:val="30"/>
          <w:lang w:val="en-US"/>
        </w:rPr>
        <w:t>Teacher Compensation Survey – completed in May</w:t>
      </w:r>
    </w:p>
    <w:p w:rsidR="4AE49105" w:rsidP="4AE49105" w:rsidRDefault="4AE49105" w14:noSpellErr="1" w14:paraId="7C571BF3" w14:textId="1CCA03A1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N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ine Questions (see attached for questions)</w:t>
      </w:r>
    </w:p>
    <w:p w:rsidR="4AE49105" w:rsidP="4AE49105" w:rsidRDefault="4AE49105" w14:noSpellErr="1" w14:paraId="4286BC28" w14:textId="2B695388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T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hirty-two teachers responded (50% 1-5 years @ Lincoln, 12.5% 6-10 years, 37.5% &gt;10 years)</w:t>
      </w:r>
    </w:p>
    <w:p w:rsidR="4AE49105" w:rsidP="4AE49105" w:rsidRDefault="4AE49105" w14:noSpellErr="1" w14:paraId="56AFA378" w14:textId="1F5F6688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Key Findings:</w:t>
      </w:r>
    </w:p>
    <w:p w:rsidR="4AE49105" w:rsidP="4AE49105" w:rsidRDefault="4AE49105" w14:paraId="2EE194B3" w14:textId="05C413EF">
      <w:pPr>
        <w:spacing w:line="375" w:lineRule="exact"/>
        <w:ind w:left="1080"/>
        <w:rPr>
          <w:noProof w:val="0"/>
          <w:lang w:val="en-US"/>
        </w:rPr>
      </w:pPr>
      <w:proofErr w:type="spellStart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JeffCo</w:t>
      </w:r>
      <w:proofErr w:type="spellEnd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 xml:space="preserve"> salaries most important benchmark (#1 by &gt;65% of respondents)</w:t>
      </w:r>
    </w:p>
    <w:p w:rsidR="4AE49105" w:rsidP="4AE49105" w:rsidRDefault="4AE49105" w14:noSpellErr="1" w14:paraId="0C814306" w14:textId="47037129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Salary #1 priority of teachers in weighing benefits/compensation (followed by PERA contribution and EA in every classroom; other strong priorities were salary increase for educational attainment, DSS, and up-to-date curriculum)</w:t>
      </w:r>
    </w:p>
    <w:p w:rsidR="4AE49105" w:rsidP="4AE49105" w:rsidRDefault="4AE49105" w14:noSpellErr="1" w14:paraId="3794C902" w14:textId="60054CAA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EAP and instructional coach were lowest priorities</w:t>
      </w:r>
    </w:p>
    <w:p w:rsidR="4AE49105" w:rsidP="4AE49105" w:rsidRDefault="4AE49105" w14:noSpellErr="1" w14:paraId="108FB6F7" w14:textId="72B15A9A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Trade-offs</w:t>
      </w:r>
    </w:p>
    <w:p w:rsidR="4AE49105" w:rsidP="4AE49105" w:rsidRDefault="4AE49105" w14:noSpellErr="1" w14:paraId="49C7F061" w14:textId="2D8E0360">
      <w:pPr>
        <w:spacing w:line="375" w:lineRule="exact"/>
        <w:ind w:left="180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M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ost common suggested trade-offs: instructional coaches, EA time, professional development</w:t>
      </w:r>
    </w:p>
    <w:p w:rsidR="4AE49105" w:rsidP="4AE49105" w:rsidRDefault="4AE49105" w14:noSpellErr="1" w14:paraId="2CAD4C53" w14:textId="71C14962">
      <w:pPr>
        <w:spacing w:line="375" w:lineRule="exact"/>
        <w:ind w:left="180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Some teachers not interested in giving up anything</w:t>
      </w:r>
    </w:p>
    <w:p w:rsidR="4AE49105" w:rsidP="4AE49105" w:rsidRDefault="4AE49105" w14:noSpellErr="1" w14:paraId="15075A7A" w14:textId="7027B327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Broad opinions regarding whether Lincoln fairly compensates skills, efforts &amp; investments of each teacher relative to his/her peers</w:t>
      </w:r>
    </w:p>
    <w:p w:rsidR="4AE49105" w:rsidP="4AE49105" w:rsidRDefault="4AE49105" w14:noSpellErr="1" w14:paraId="2C9E876A" w14:textId="4957FBBB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Strong self/professional pride component to teacher performance</w:t>
      </w:r>
    </w:p>
    <w:p w:rsidR="4AE49105" w:rsidP="4AE49105" w:rsidRDefault="4AE49105" w14:noSpellErr="1" w14:paraId="4C5C1BFF" w14:textId="5877F8C4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Comments indicate substantial dissatisfaction with current compensation</w:t>
      </w:r>
    </w:p>
    <w:p w:rsidR="4AE49105" w:rsidP="4AE49105" w:rsidRDefault="4AE49105" w14:noSpellErr="1" w14:paraId="7BFDDAB6" w14:textId="41EE2F2D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Comments also indicated appreciation that board considering salary issue</w:t>
      </w:r>
    </w:p>
    <w:p w:rsidR="4AE49105" w:rsidP="4AE49105" w:rsidRDefault="4AE49105" w14:paraId="6C0A0D02" w14:textId="18DDA9C5">
      <w:pPr>
        <w:spacing w:line="375" w:lineRule="exact"/>
        <w:ind w:left="0"/>
        <w:rPr>
          <w:rFonts w:ascii="Arial" w:hAnsi="Arial" w:eastAsia="Arial" w:cs="Arial"/>
          <w:noProof w:val="0"/>
          <w:sz w:val="30"/>
          <w:szCs w:val="30"/>
          <w:lang w:val="en-US"/>
        </w:rPr>
      </w:pPr>
    </w:p>
    <w:p w:rsidR="4AE49105" w:rsidP="4AE49105" w:rsidRDefault="4AE49105" w14:paraId="7F403B31" w14:textId="455F6DC3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i w:val="1"/>
          <w:iCs w:val="1"/>
          <w:noProof w:val="0"/>
          <w:color w:val="595959" w:themeColor="text1" w:themeTint="A6" w:themeShade="FF"/>
          <w:sz w:val="30"/>
          <w:szCs w:val="30"/>
          <w:lang w:val="en-US"/>
        </w:rPr>
        <w:t xml:space="preserve">Future Cost Assessment – 90% of </w:t>
      </w:r>
      <w:proofErr w:type="spellStart"/>
      <w:r w:rsidRPr="4AE49105" w:rsidR="4AE49105">
        <w:rPr>
          <w:rFonts w:ascii="Arial" w:hAnsi="Arial" w:eastAsia="Arial" w:cs="Arial"/>
          <w:i w:val="1"/>
          <w:iCs w:val="1"/>
          <w:noProof w:val="0"/>
          <w:color w:val="595959" w:themeColor="text1" w:themeTint="A6" w:themeShade="FF"/>
          <w:sz w:val="30"/>
          <w:szCs w:val="30"/>
          <w:lang w:val="en-US"/>
        </w:rPr>
        <w:t>JeffCo</w:t>
      </w:r>
      <w:proofErr w:type="spellEnd"/>
    </w:p>
    <w:p w:rsidR="4AE49105" w:rsidP="4AE49105" w:rsidRDefault="4AE49105" w14:noSpellErr="1" w14:paraId="593F2E56" w14:textId="283FC82A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BLUF: returning to 90% benchmark would require approx. $555,000 over next three years</w:t>
      </w:r>
    </w:p>
    <w:p w:rsidR="4AE49105" w:rsidP="4AE49105" w:rsidRDefault="4AE49105" w14:noSpellErr="1" w14:paraId="7179B8D6" w14:textId="723DF406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Year 1 = $146,026.10</w:t>
      </w:r>
    </w:p>
    <w:p w:rsidR="4AE49105" w:rsidP="4AE49105" w:rsidRDefault="4AE49105" w14:noSpellErr="1" w14:paraId="12571C01" w14:textId="3F73A407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Year 2 = baseline + $23,715.87</w:t>
      </w:r>
    </w:p>
    <w:p w:rsidR="4AE49105" w:rsidP="4AE49105" w:rsidRDefault="4AE49105" w14:noSpellErr="1" w14:paraId="0DEE90B8" w14:textId="72F843A1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Year 3 = baseline + $70,951.56</w:t>
      </w:r>
    </w:p>
    <w:p w:rsidR="4AE49105" w:rsidP="4AE49105" w:rsidRDefault="4AE49105" w14:paraId="6F4CA8CB" w14:textId="79222AC3">
      <w:pPr>
        <w:spacing w:line="375" w:lineRule="exact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 xml:space="preserve">Estimates based on 2016-17 </w:t>
      </w:r>
      <w:proofErr w:type="spellStart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JeffCo</w:t>
      </w:r>
      <w:proofErr w:type="spellEnd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 xml:space="preserve"> salaries; no year-over-year changes to present facts (i.e., assumes exact same staff composition and assumes no change in </w:t>
      </w:r>
      <w:proofErr w:type="spellStart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JeffCo</w:t>
      </w:r>
      <w:proofErr w:type="spellEnd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 xml:space="preserve"> salaries)</w:t>
      </w:r>
    </w:p>
    <w:p w:rsidR="4AE49105" w:rsidP="4AE49105" w:rsidRDefault="4AE49105" w14:paraId="719C7F76" w14:textId="5B631E55">
      <w:pPr>
        <w:spacing w:line="375" w:lineRule="exact"/>
        <w:ind w:left="0"/>
        <w:rPr>
          <w:rFonts w:ascii="Arial" w:hAnsi="Arial" w:eastAsia="Arial" w:cs="Arial"/>
          <w:noProof w:val="0"/>
          <w:sz w:val="30"/>
          <w:szCs w:val="30"/>
          <w:lang w:val="en-US"/>
        </w:rPr>
      </w:pPr>
    </w:p>
    <w:p w:rsidR="4AE49105" w:rsidP="4AE49105" w:rsidRDefault="4AE49105" w14:noSpellErr="1" w14:paraId="3B85B73F" w14:textId="46A01283">
      <w:pPr>
        <w:spacing w:line="375" w:lineRule="exact"/>
        <w:ind w:left="0"/>
        <w:rPr>
          <w:rFonts w:ascii="Arial" w:hAnsi="Arial" w:eastAsia="Arial" w:cs="Arial"/>
          <w:noProof w:val="0"/>
          <w:sz w:val="30"/>
          <w:szCs w:val="3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 xml:space="preserve">Next committee meeting scheduled for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Sept. 7@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 xml:space="preserve"> 7AM</w:t>
      </w:r>
    </w:p>
    <w:p w:rsidR="4AE49105" w:rsidP="4AE49105" w:rsidRDefault="4AE49105" w14:noSpellErr="1" w14:paraId="732CCB28" w14:textId="1AB8FD81">
      <w:pPr>
        <w:spacing w:line="37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P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30"/>
          <w:szCs w:val="30"/>
          <w:lang w:val="en-US"/>
        </w:rPr>
        <w:t>lan to begin discussing potential future salary structures</w:t>
      </w:r>
      <w:r>
        <w:br w:type="page"/>
      </w:r>
    </w:p>
    <w:p w:rsidR="4AE49105" w:rsidP="4AE49105" w:rsidRDefault="4AE49105" w14:noSpellErr="1" w14:paraId="0CD81995" w14:textId="10FB9B43">
      <w:pPr>
        <w:spacing w:line="510" w:lineRule="exact"/>
        <w:ind w:left="0"/>
        <w:rPr>
          <w:rFonts w:ascii="Arial" w:hAnsi="Arial" w:eastAsia="Arial" w:cs="Arial"/>
          <w:noProof w:val="0"/>
          <w:sz w:val="40"/>
          <w:szCs w:val="40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40"/>
          <w:szCs w:val="40"/>
          <w:lang w:val="en-US"/>
        </w:rPr>
        <w:t>Attachment 1 – Compensation Survey Questions</w:t>
      </w:r>
    </w:p>
    <w:p w:rsidR="4AE49105" w:rsidP="4AE49105" w:rsidRDefault="4AE49105" w14:noSpellErr="1" w14:paraId="028A5E44" w14:textId="52B96A93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Q1: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How long have you worked at Lincoln Academy?</w:t>
      </w:r>
    </w:p>
    <w:p w:rsidR="4AE49105" w:rsidP="4AE49105" w:rsidRDefault="4AE49105" w14:noSpellErr="1" w14:paraId="3E4A4B2C" w14:textId="2D06B64C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>Q2: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 xml:space="preserve"> How important is it for Lincoln Academy to benchmark salaries against (rank 1 as the most important and 5 as the least important):</w:t>
      </w:r>
    </w:p>
    <w:p w:rsidR="4AE49105" w:rsidP="4AE49105" w:rsidRDefault="4AE49105" w14:paraId="6BF69EDD" w14:textId="5F24912C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 xml:space="preserve">Core knowledge charter schools within </w:t>
      </w:r>
      <w:proofErr w:type="spellStart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JeffCo</w:t>
      </w:r>
      <w:proofErr w:type="spellEnd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 xml:space="preserve"> and surrounding districts</w:t>
      </w:r>
    </w:p>
    <w:p w:rsidR="4AE49105" w:rsidP="4AE49105" w:rsidRDefault="4AE49105" w14:paraId="68AE15FD" w14:textId="27C97580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 xml:space="preserve">All charter schools within </w:t>
      </w:r>
      <w:proofErr w:type="spellStart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JeffCo</w:t>
      </w:r>
      <w:proofErr w:type="spellEnd"/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 xml:space="preserve"> and surrounding districts</w:t>
      </w:r>
    </w:p>
    <w:p w:rsidR="4AE49105" w:rsidP="4AE49105" w:rsidRDefault="4AE49105" w14:noSpellErr="1" w14:paraId="5DDA61EE" w14:textId="113E5F7A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Jefferson County district public school</w:t>
      </w:r>
    </w:p>
    <w:p w:rsidR="4AE49105" w:rsidP="4AE49105" w:rsidRDefault="4AE49105" w14:noSpellErr="1" w14:paraId="0DE4C6E4" w14:textId="24234D9B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Surrounding district public schools</w:t>
      </w:r>
    </w:p>
    <w:p w:rsidR="4AE49105" w:rsidP="4AE49105" w:rsidRDefault="4AE49105" w14:noSpellErr="1" w14:paraId="211F2AB2" w14:textId="0C420B07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Other, please explain in the next question</w:t>
      </w:r>
    </w:p>
    <w:p w:rsidR="4AE49105" w:rsidP="4AE49105" w:rsidRDefault="4AE49105" w14:noSpellErr="1" w14:paraId="17383E16" w14:textId="7AD442A2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Q3: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If you would suggest a different benchmark than those previously mentioned, please explain.</w:t>
      </w:r>
    </w:p>
    <w:p w:rsidR="4AE49105" w:rsidP="4AE49105" w:rsidRDefault="4AE49105" w14:noSpellErr="1" w14:paraId="33219CDD" w14:textId="65839F52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Q4: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Please rate the following monetary and non-monetary compensation/benefits (or possible benefits) by your personal priority (least important to most important).</w:t>
      </w:r>
    </w:p>
    <w:p w:rsidR="4AE49105" w:rsidP="4AE49105" w:rsidRDefault="4AE49105" w14:noSpellErr="1" w14:paraId="60D9C315" w14:textId="7F51630F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Salary</w:t>
      </w:r>
    </w:p>
    <w:p w:rsidR="4AE49105" w:rsidP="4AE49105" w:rsidRDefault="4AE49105" w14:noSpellErr="1" w14:paraId="72B6EC90" w14:textId="1481D1D9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Health/Medical/Dental/Vision/Life insurance</w:t>
      </w:r>
    </w:p>
    <w:p w:rsidR="4AE49105" w:rsidP="4AE49105" w:rsidRDefault="4AE49105" w14:noSpellErr="1" w14:paraId="0513B11D" w14:textId="6A6E020A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PERA (retirement) contribution</w:t>
      </w:r>
    </w:p>
    <w:p w:rsidR="4AE49105" w:rsidP="4AE49105" w:rsidRDefault="4AE49105" w14:noSpellErr="1" w14:paraId="5D853280" w14:textId="2AD2AD50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Optional short-term disability</w:t>
      </w:r>
    </w:p>
    <w:p w:rsidR="4AE49105" w:rsidP="4AE49105" w:rsidRDefault="4AE49105" w14:noSpellErr="1" w14:paraId="3AAFD84B" w14:textId="18715658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Vacation/Sick, paid time off</w:t>
      </w:r>
    </w:p>
    <w:p w:rsidR="4AE49105" w:rsidP="4AE49105" w:rsidRDefault="4AE49105" w14:noSpellErr="1" w14:paraId="29B8568B" w14:textId="25985A39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Availability of fund for additional professional development or applicable education</w:t>
      </w:r>
    </w:p>
    <w:p w:rsidR="4AE49105" w:rsidP="4AE49105" w:rsidRDefault="4AE49105" w14:noSpellErr="1" w14:paraId="71E23E31" w14:textId="7BAB5F40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Financial recognition (salary adjustment) for additional applicable education</w:t>
      </w:r>
    </w:p>
    <w:p w:rsidR="4AE49105" w:rsidP="4AE49105" w:rsidRDefault="4AE49105" w14:noSpellErr="1" w14:paraId="2D6C4B7B" w14:textId="7E8C043A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Availability of funds for classroom supplies and/or curriculum</w:t>
      </w:r>
    </w:p>
    <w:p w:rsidR="4AE49105" w:rsidP="4AE49105" w:rsidRDefault="4AE49105" w14:noSpellErr="1" w14:paraId="43410669" w14:textId="15D82D79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On-site training/professional development which fulfills license renewal requirements</w:t>
      </w:r>
    </w:p>
    <w:p w:rsidR="4AE49105" w:rsidP="4AE49105" w:rsidRDefault="4AE49105" w14:noSpellErr="1" w14:paraId="6E01B8D3" w14:textId="5649D02A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Opportunities for professional growth</w:t>
      </w:r>
    </w:p>
    <w:p w:rsidR="4AE49105" w:rsidP="4AE49105" w:rsidRDefault="4AE49105" w14:noSpellErr="1" w14:paraId="5788B156" w14:textId="27BF64D8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Culture among Lincoln Academy staff</w:t>
      </w:r>
    </w:p>
    <w:p w:rsidR="4AE49105" w:rsidP="4AE49105" w:rsidRDefault="4AE49105" w14:noSpellErr="1" w14:paraId="36E519AE" w14:textId="7A7C19C5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Culture among Lincoln Academy families</w:t>
      </w:r>
    </w:p>
    <w:p w:rsidR="4AE49105" w:rsidP="4AE49105" w:rsidRDefault="4AE49105" w14:noSpellErr="1" w14:paraId="67027EF3" w14:textId="78F6B0ED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Support of educational assistant in every classroom</w:t>
      </w:r>
    </w:p>
    <w:p w:rsidR="4AE49105" w:rsidP="4AE49105" w:rsidRDefault="4AE49105" w14:noSpellErr="1" w14:paraId="1E94EDAA" w14:textId="2D1904BC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Support of department of student success</w:t>
      </w:r>
    </w:p>
    <w:p w:rsidR="4AE49105" w:rsidP="4AE49105" w:rsidRDefault="4AE49105" w14:noSpellErr="1" w14:paraId="40B15361" w14:textId="22B0AE4F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Support of instructional coach</w:t>
      </w:r>
    </w:p>
    <w:p w:rsidR="4AE49105" w:rsidP="4AE49105" w:rsidRDefault="4AE49105" w14:noSpellErr="1" w14:paraId="088F41F1" w14:textId="220028F0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Support provided by parents/family volunteer requirement</w:t>
      </w:r>
    </w:p>
    <w:p w:rsidR="4AE49105" w:rsidP="4AE49105" w:rsidRDefault="4AE49105" w14:noSpellErr="1" w14:paraId="6FCC25E4" w14:textId="48803781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Core knowledge philosophy</w:t>
      </w:r>
    </w:p>
    <w:p w:rsidR="4AE49105" w:rsidP="4AE49105" w:rsidRDefault="4AE49105" w14:noSpellErr="1" w14:paraId="4A0F53A0" w14:textId="494E053D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Up-to-Date curriculum provided</w:t>
      </w:r>
    </w:p>
    <w:p w:rsidR="4AE49105" w:rsidP="4AE49105" w:rsidRDefault="4AE49105" w14:noSpellErr="1" w14:paraId="389B3DD6" w14:textId="1EB4D6F0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Employee assistance program (counseling)</w:t>
      </w:r>
    </w:p>
    <w:p w:rsidR="4AE49105" w:rsidP="4AE49105" w:rsidRDefault="4AE49105" w14:noSpellErr="1" w14:paraId="1FDA64E4" w14:textId="11A8A934">
      <w:pPr>
        <w:spacing w:line="345" w:lineRule="exact"/>
        <w:ind w:left="1080"/>
        <w:rPr>
          <w:noProof w:val="0"/>
          <w:lang w:val="en-US"/>
        </w:rPr>
      </w:pP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Other, please explain below</w:t>
      </w:r>
    </w:p>
    <w:p w:rsidR="4AE49105" w:rsidP="4AE49105" w:rsidRDefault="4AE49105" w14:noSpellErr="1" w14:paraId="6CA7149C" w14:textId="0B2F3754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Q5: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How well do you feel that you understand the current total compensation package at Lincoln Academy including the salary scale.</w:t>
      </w:r>
    </w:p>
    <w:p w:rsidR="4AE49105" w:rsidP="4AE49105" w:rsidRDefault="4AE49105" w14:noSpellErr="1" w14:paraId="6B1C192B" w14:textId="402ED57B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Q6: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Aside from salaries, what other factors motivate you to perform your best at Lincoln Academy?</w:t>
      </w:r>
    </w:p>
    <w:p w:rsidR="4AE49105" w:rsidP="4AE49105" w:rsidRDefault="4AE49105" w14:noSpellErr="1" w14:paraId="74CA30F5" w14:textId="67786B74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Q7: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Is there something specific you would be willing to give up in order to have a higher salary?</w:t>
      </w:r>
    </w:p>
    <w:p w:rsidR="4AE49105" w:rsidP="4AE49105" w:rsidRDefault="4AE49105" w14:noSpellErr="1" w14:paraId="0AEBDB0D" w14:textId="3266C1B6">
      <w:pPr>
        <w:spacing w:line="345" w:lineRule="exact"/>
        <w:ind w:left="0"/>
        <w:rPr>
          <w:rFonts w:ascii="Arial" w:hAnsi="Arial" w:eastAsia="Arial" w:cs="Arial"/>
          <w:noProof w:val="0"/>
          <w:sz w:val="28"/>
          <w:szCs w:val="28"/>
          <w:lang w:val="en-US"/>
        </w:rPr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Q8: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Do you feel Lincoln Academy fairly compensates your skills, investment and efforts relative to your colleagues?</w:t>
      </w:r>
    </w:p>
    <w:p w:rsidR="4AE49105" w:rsidP="4AE49105" w:rsidRDefault="4AE49105" w14:noSpellErr="1" w14:paraId="1781B7EB" w14:textId="3024E221">
      <w:pPr>
        <w:spacing w:line="345" w:lineRule="exact"/>
        <w:ind w:left="0"/>
      </w:pPr>
      <w:r w:rsidRPr="4AE49105" w:rsidR="4AE49105">
        <w:rPr>
          <w:rFonts w:ascii="Arial" w:hAnsi="Arial" w:eastAsia="Arial" w:cs="Arial"/>
          <w:b w:val="1"/>
          <w:bCs w:val="1"/>
          <w:noProof w:val="0"/>
          <w:color w:val="595959" w:themeColor="text1" w:themeTint="A6" w:themeShade="FF"/>
          <w:sz w:val="28"/>
          <w:szCs w:val="28"/>
          <w:lang w:val="en-US"/>
        </w:rPr>
        <w:t xml:space="preserve">Q9: </w:t>
      </w:r>
      <w:r w:rsidRPr="4AE49105" w:rsidR="4AE49105">
        <w:rPr>
          <w:rFonts w:ascii="Arial" w:hAnsi="Arial" w:eastAsia="Arial" w:cs="Arial"/>
          <w:noProof w:val="0"/>
          <w:color w:val="595959" w:themeColor="text1" w:themeTint="A6" w:themeShade="FF"/>
          <w:sz w:val="28"/>
          <w:szCs w:val="28"/>
          <w:lang w:val="en-US"/>
        </w:rPr>
        <w:t>What other thoughts do you have regarding compensation at Lincoln Academy?</w:t>
      </w:r>
    </w:p>
    <w:sectPr>
      <w:footerReference w:type="default" r:id="rId7"/>
      <w:pgSz w:w="12240" w:h="15840" w:orient="portrait"/>
      <w:pgMar w:top="144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14:paraId="60160DE4" wp14:textId="77777777">
      <w:r>
        <w:separator/>
      </w:r>
    </w:p>
    <w:p xmlns:wp14="http://schemas.microsoft.com/office/word/2010/wordml" w14:paraId="517E8491" wp14:textId="77777777"/>
  </w:endnote>
  <w:endnote w:type="continuationSeparator" w:id="0">
    <w:p xmlns:wp14="http://schemas.microsoft.com/office/word/2010/wordml" w14:paraId="5D1CABC9" wp14:textId="77777777">
      <w:r>
        <w:continuationSeparator/>
      </w:r>
    </w:p>
    <w:p xmlns:wp14="http://schemas.microsoft.com/office/word/2010/wordml" w14:paraId="5652BBE7" wp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Footer page number layout table"/>
    </w:tblPr>
    <w:tblGrid>
      <w:gridCol w:w="3116"/>
      <w:gridCol w:w="3117"/>
      <w:gridCol w:w="3117"/>
    </w:tblGrid>
    <w:sdt>
      <w:sdtPr>
        <w:id w:val="-120069970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tr xmlns:wp14="http://schemas.microsoft.com/office/word/2010/wordml" w14:paraId="273B498A" wp14:textId="77777777">
          <w:tc>
            <w:tcPr>
              <w:tcW w:w="3116" w:type="dxa"/>
            </w:tcPr>
            <w:p w14:paraId="6059AF4A" wp14:textId="77777777">
              <w:pPr>
                <w:pStyle w:val="Footer"/>
              </w:pP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>
                <w:rPr>
                  <w:noProof/>
                </w:rPr>
                <w:t>2</w:t>
              </w:r>
              <w:r>
                <w:rPr>
                  <w:noProof/>
                </w:rPr>
                <w:fldChar w:fldCharType="end"/>
              </w:r>
            </w:p>
          </w:tc>
          <w:tc>
            <w:tcPr>
              <w:tcW w:w="3117" w:type="dxa"/>
            </w:tcPr>
            <w:p w14:paraId="1E1723E6" wp14:textId="77777777">
              <w:pPr>
                <w:pStyle w:val="Footer"/>
                <w:jc w:val="center"/>
              </w:pPr>
            </w:p>
          </w:tc>
          <w:tc>
            <w:tcPr>
              <w:tcW w:w="3117" w:type="dxa"/>
            </w:tcPr>
            <w:p w14:paraId="732AD384" wp14:textId="77777777">
              <w:pPr>
                <w:pStyle w:val="Footer"/>
                <w:jc w:val="right"/>
              </w:pPr>
            </w:p>
          </w:tc>
        </w:tr>
      </w:sdtContent>
    </w:sdt>
  </w:tbl>
  <w:p xmlns:wp14="http://schemas.microsoft.com/office/word/2010/wordml" w14:paraId="15632F0A" wp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14:paraId="43F04F51" wp14:textId="77777777">
      <w:r>
        <w:separator/>
      </w:r>
    </w:p>
    <w:p xmlns:wp14="http://schemas.microsoft.com/office/word/2010/wordml" w14:paraId="0F25F888" wp14:textId="77777777"/>
  </w:footnote>
  <w:footnote w:type="continuationSeparator" w:id="0">
    <w:p xmlns:wp14="http://schemas.microsoft.com/office/word/2010/wordml" w14:paraId="6EE3D733" wp14:textId="77777777">
      <w:r>
        <w:continuationSeparator/>
      </w:r>
    </w:p>
    <w:p xmlns:wp14="http://schemas.microsoft.com/office/word/2010/wordml" w14:paraId="156EEB03" wp14:textId="777777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FFFFFF88"/>
    <w:multiLevelType w:val="singleLevel"/>
    <w:tmpl w:val="930A86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1682D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B28936-571F-4DB1-9082-F7AEDE8711E2}"/>
  <w14:docId w14:val="1DCADB81"/>
  <w:rsids>
    <w:rsidRoot w:val="6399C353"/>
    <w:rsid w:val="4AE49105"/>
    <w:rsid w:val="6399C35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color w:val="595959" w:themeColor="text1" w:themeTint="A6"/>
        <w:sz w:val="30"/>
        <w:szCs w:val="30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60"/>
      <w:outlineLvl w:val="0"/>
    </w:pPr>
    <w:rPr>
      <w:rFonts w:asciiTheme="majorHAnsi" w:hAnsiTheme="majorHAnsi" w:eastAsiaTheme="majorEastAsia" w:cstheme="majorBidi"/>
      <w:color w:val="262626" w:themeColor="text1" w:themeTint="D9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60"/>
      <w:outlineLvl w:val="1"/>
    </w:pPr>
    <w:rPr>
      <w:rFonts w:asciiTheme="majorHAnsi" w:hAnsiTheme="majorHAnsi" w:eastAsiaTheme="majorEastAsia" w:cstheme="majorBidi"/>
      <w:i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hAnsiTheme="majorHAnsi" w:eastAsiaTheme="majorEastAsia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hAnsiTheme="majorHAnsi" w:eastAsiaTheme="majorEastAsia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hAnsiTheme="majorHAnsi" w:eastAsiaTheme="majorEastAsia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hAnsiTheme="majorHAnsi" w:eastAsiaTheme="majorEastAsia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hAnsiTheme="majorHAnsi" w:eastAsiaTheme="majorEastAsia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hAnsiTheme="majorHAnsi" w:eastAsiaTheme="majorEastAsia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hAnsiTheme="majorHAnsi" w:eastAsiaTheme="majorEastAsia" w:cstheme="majorBidi"/>
      <w:iCs/>
      <w:color w:val="262626" w:themeColor="text1" w:themeTint="D9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1"/>
      </w:numPr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62626" w:themeColor="text1" w:themeTint="D9"/>
      <w:sz w:val="48"/>
      <w:szCs w:val="32"/>
    </w:rPr>
  </w:style>
  <w:style w:type="paragraph" w:styleId="ListNumber">
    <w:name w:val="List Number"/>
    <w:basedOn w:val="Normal"/>
    <w:uiPriority w:val="9"/>
    <w:qFormat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hAnsiTheme="majorHAnsi" w:eastAsiaTheme="majorEastAsia" w:cstheme="majorBidi"/>
      <w:caps/>
      <w:color w:val="262626" w:themeColor="text1" w:themeTint="D9"/>
      <w:kern w:val="28"/>
      <w:sz w:val="66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Pr>
      <w:rFonts w:asciiTheme="majorHAnsi" w:hAnsiTheme="majorHAnsi" w:eastAsiaTheme="majorEastAsia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styleId="SubtitleChar" w:customStyle="1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i/>
      <w:color w:val="262626" w:themeColor="text1" w:themeTint="D9"/>
      <w:sz w:val="40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asciiTheme="majorHAnsi" w:hAnsiTheme="majorHAnsi" w:eastAsiaTheme="majorEastAsia" w:cstheme="majorBidi"/>
      <w:sz w:val="40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i/>
      <w:iCs/>
      <w:sz w:val="40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asciiTheme="majorHAnsi" w:hAnsiTheme="majorHAnsi" w:eastAsiaTheme="majorEastAsia" w:cstheme="majorBidi"/>
      <w:color w:val="262626" w:themeColor="text1" w:themeTint="D9"/>
      <w:sz w:val="34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asciiTheme="majorHAnsi" w:hAnsiTheme="majorHAnsi" w:eastAsiaTheme="majorEastAsia" w:cstheme="majorBidi"/>
      <w:i/>
      <w:color w:val="262626" w:themeColor="text1" w:themeTint="D9"/>
      <w:sz w:val="34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asciiTheme="majorHAnsi" w:hAnsiTheme="majorHAnsi" w:eastAsiaTheme="majorEastAsia" w:cstheme="majorBidi"/>
      <w:iCs/>
      <w:sz w:val="34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asciiTheme="majorHAnsi" w:hAnsiTheme="majorHAnsi" w:eastAsiaTheme="majorEastAsia" w:cstheme="majorBidi"/>
      <w:i/>
      <w:sz w:val="34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asciiTheme="majorHAnsi" w:hAnsiTheme="majorHAnsi" w:eastAsiaTheme="majorEastAsia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styleId="QuoteChar" w:customStyle="1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 Burrows</dc:creator>
  <keywords/>
  <dc:description/>
  <lastModifiedBy>Dan Burrows</lastModifiedBy>
  <revision>5</revision>
  <dcterms:created xsi:type="dcterms:W3CDTF">2017-08-07T02:39:28.0383538Z</dcterms:created>
  <dcterms:modified xsi:type="dcterms:W3CDTF">2017-08-07T04:02:15.2163183Z</dcterms:modified>
</coreProperties>
</file>