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860EB" w14:textId="77777777" w:rsidR="00E13AE3" w:rsidRDefault="00B12E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sz w:val="21"/>
          <w:szCs w:val="21"/>
        </w:rPr>
      </w:pPr>
      <w:bookmarkStart w:id="0" w:name="_GoBack"/>
      <w:bookmarkEnd w:id="0"/>
      <w:r>
        <w:rPr>
          <w:b/>
          <w:color w:val="000000"/>
          <w:sz w:val="21"/>
          <w:szCs w:val="21"/>
        </w:rPr>
        <w:t>Evaluate the extent to which the methods used by rulers to legitimize their authority</w:t>
      </w:r>
      <w:r>
        <w:rPr>
          <w:b/>
          <w:color w:val="000000"/>
          <w:sz w:val="21"/>
          <w:szCs w:val="21"/>
          <w:highlight w:val="white"/>
        </w:rPr>
        <w:t xml:space="preserve"> were similar </w:t>
      </w:r>
      <w:r>
        <w:rPr>
          <w:b/>
          <w:color w:val="000000"/>
          <w:sz w:val="21"/>
          <w:szCs w:val="21"/>
        </w:rPr>
        <w:t xml:space="preserve">in the period 1450-1750 CE. </w:t>
      </w:r>
    </w:p>
    <w:p w14:paraId="383AC3A8" w14:textId="77777777" w:rsidR="00E13AE3" w:rsidRDefault="00E13AE3">
      <w:pPr>
        <w:jc w:val="both"/>
        <w:rPr>
          <w:sz w:val="21"/>
          <w:szCs w:val="21"/>
        </w:rPr>
      </w:pPr>
    </w:p>
    <w:p w14:paraId="4170C4EB" w14:textId="77777777" w:rsidR="00E13AE3" w:rsidRDefault="00B12E50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Document 1</w:t>
      </w:r>
    </w:p>
    <w:p w14:paraId="1E3F50C0" w14:textId="77777777" w:rsidR="00E13AE3" w:rsidRDefault="00E13AE3">
      <w:pPr>
        <w:jc w:val="center"/>
        <w:rPr>
          <w:b/>
          <w:sz w:val="21"/>
          <w:szCs w:val="21"/>
        </w:rPr>
      </w:pPr>
    </w:p>
    <w:tbl>
      <w:tblPr>
        <w:tblStyle w:val="a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13AE3" w14:paraId="114159A2" w14:textId="77777777">
        <w:trPr>
          <w:jc w:val="center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9A65F" w14:textId="77777777" w:rsidR="00E13AE3" w:rsidRDefault="00B12E50">
            <w:pPr>
              <w:widowControl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Source: Reports from Venetian merchants from the Safavid Empire during the early reign of Shah Ismail, c1502 CE</w:t>
            </w:r>
          </w:p>
          <w:p w14:paraId="5340756F" w14:textId="77777777" w:rsidR="00E13AE3" w:rsidRDefault="00B12E50">
            <w:pPr>
              <w:widowControl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</w:t>
            </w:r>
          </w:p>
          <w:p w14:paraId="6AE604F4" w14:textId="77777777" w:rsidR="00E13AE3" w:rsidRDefault="00B12E50">
            <w:pPr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“…after Ismail’s first victory, the members of his sect flocked to join him because in their books they found it foretold that a prophet of th</w:t>
            </w:r>
            <w:r>
              <w:rPr>
                <w:sz w:val="21"/>
                <w:szCs w:val="21"/>
              </w:rPr>
              <w:t>eir religion would come and they must support and exalt him…everyone and particularly his soldiers consider [Ismail] immortal,…[and that he is seen] as the holy of holies, full of divinatory power, for he takes counsel from no one…his every act is divine-i</w:t>
            </w:r>
            <w:r>
              <w:rPr>
                <w:sz w:val="21"/>
                <w:szCs w:val="21"/>
              </w:rPr>
              <w:t>nspired.”</w:t>
            </w:r>
          </w:p>
          <w:p w14:paraId="1558F87C" w14:textId="77777777" w:rsidR="00E13AE3" w:rsidRDefault="00E13AE3">
            <w:pPr>
              <w:widowControl w:val="0"/>
              <w:rPr>
                <w:b/>
                <w:sz w:val="21"/>
                <w:szCs w:val="21"/>
              </w:rPr>
            </w:pPr>
          </w:p>
        </w:tc>
      </w:tr>
    </w:tbl>
    <w:p w14:paraId="13185241" w14:textId="77777777" w:rsidR="00E13AE3" w:rsidRDefault="00E13AE3">
      <w:pPr>
        <w:jc w:val="center"/>
        <w:rPr>
          <w:b/>
          <w:sz w:val="21"/>
          <w:szCs w:val="21"/>
        </w:rPr>
      </w:pPr>
    </w:p>
    <w:p w14:paraId="27183625" w14:textId="77777777" w:rsidR="00E13AE3" w:rsidRDefault="00E13AE3">
      <w:pPr>
        <w:jc w:val="center"/>
        <w:rPr>
          <w:b/>
          <w:sz w:val="21"/>
          <w:szCs w:val="21"/>
        </w:rPr>
      </w:pPr>
    </w:p>
    <w:p w14:paraId="66E1FB90" w14:textId="77777777" w:rsidR="00E13AE3" w:rsidRDefault="00B12E50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Document 2</w:t>
      </w:r>
    </w:p>
    <w:p w14:paraId="067CA027" w14:textId="77777777" w:rsidR="00E13AE3" w:rsidRDefault="00E13AE3">
      <w:pPr>
        <w:jc w:val="center"/>
        <w:rPr>
          <w:b/>
          <w:sz w:val="21"/>
          <w:szCs w:val="21"/>
        </w:rPr>
      </w:pPr>
    </w:p>
    <w:tbl>
      <w:tblPr>
        <w:tblStyle w:val="a0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13AE3" w14:paraId="78CFD32A" w14:textId="77777777">
        <w:trPr>
          <w:jc w:val="center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8ADAA" w14:textId="77777777" w:rsidR="00E13AE3" w:rsidRDefault="00B12E50">
            <w:pPr>
              <w:widowControl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Source: Drawing titled “Panorama of Constantinople (Sheet 8, 1559)” by Danish artist Melchior </w:t>
            </w:r>
            <w:proofErr w:type="spellStart"/>
            <w:r>
              <w:rPr>
                <w:b/>
                <w:sz w:val="21"/>
                <w:szCs w:val="21"/>
              </w:rPr>
              <w:t>Lorck</w:t>
            </w:r>
            <w:proofErr w:type="spellEnd"/>
            <w:r>
              <w:rPr>
                <w:b/>
                <w:sz w:val="21"/>
                <w:szCs w:val="21"/>
              </w:rPr>
              <w:t>, during his travel around the Ottoman Empire from 1555 to 1559</w:t>
            </w:r>
          </w:p>
          <w:p w14:paraId="2BCB471F" w14:textId="77777777" w:rsidR="00E13AE3" w:rsidRDefault="00E13AE3">
            <w:pPr>
              <w:widowControl w:val="0"/>
              <w:rPr>
                <w:b/>
                <w:sz w:val="21"/>
                <w:szCs w:val="21"/>
              </w:rPr>
            </w:pPr>
          </w:p>
          <w:p w14:paraId="30744D8C" w14:textId="77777777" w:rsidR="00E13AE3" w:rsidRDefault="00B12E50">
            <w:pPr>
              <w:widowControl w:val="0"/>
              <w:rPr>
                <w:b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hidden="0" allowOverlap="1" wp14:anchorId="1B30F21F" wp14:editId="3FC548F5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57150</wp:posOffset>
                  </wp:positionV>
                  <wp:extent cx="4895454" cy="3066139"/>
                  <wp:effectExtent l="0" t="0" r="0" b="0"/>
                  <wp:wrapSquare wrapText="bothSides" distT="0" distB="0" distL="0" distR="0"/>
                  <wp:docPr id="1" name="image1.jpg" descr="https://upload.wikimedia.org/wikipedia/commons/3/38/Panorama_of_Constantinople%2C_Melchior_Lorck%2C_Sheet_8%2C_1559_%28cropped%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https://upload.wikimedia.org/wikipedia/commons/3/38/Panorama_of_Constantinople%2C_Melchior_Lorck%2C_Sheet_8%2C_1559_%28cropped%29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5454" cy="30661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7E4F442" w14:textId="77777777" w:rsidR="00E13AE3" w:rsidRDefault="00E13AE3">
      <w:pPr>
        <w:rPr>
          <w:b/>
          <w:sz w:val="21"/>
          <w:szCs w:val="21"/>
        </w:rPr>
      </w:pPr>
    </w:p>
    <w:p w14:paraId="057B6784" w14:textId="77777777" w:rsidR="00E13AE3" w:rsidRDefault="00E13AE3">
      <w:pPr>
        <w:jc w:val="center"/>
        <w:rPr>
          <w:b/>
          <w:sz w:val="21"/>
          <w:szCs w:val="21"/>
        </w:rPr>
      </w:pPr>
    </w:p>
    <w:p w14:paraId="6A3ED6C4" w14:textId="77777777" w:rsidR="00E13AE3" w:rsidRDefault="00E13AE3">
      <w:pPr>
        <w:jc w:val="center"/>
        <w:rPr>
          <w:b/>
          <w:sz w:val="21"/>
          <w:szCs w:val="21"/>
        </w:rPr>
      </w:pPr>
    </w:p>
    <w:p w14:paraId="07C216AA" w14:textId="77777777" w:rsidR="00E13AE3" w:rsidRDefault="00E13AE3">
      <w:pPr>
        <w:jc w:val="center"/>
        <w:rPr>
          <w:b/>
          <w:sz w:val="21"/>
          <w:szCs w:val="21"/>
        </w:rPr>
      </w:pPr>
    </w:p>
    <w:p w14:paraId="3BEC3C18" w14:textId="77777777" w:rsidR="00E13AE3" w:rsidRDefault="00E13AE3">
      <w:pPr>
        <w:jc w:val="center"/>
        <w:rPr>
          <w:b/>
          <w:sz w:val="21"/>
          <w:szCs w:val="21"/>
        </w:rPr>
      </w:pPr>
    </w:p>
    <w:p w14:paraId="70CA315E" w14:textId="77777777" w:rsidR="00E13AE3" w:rsidRDefault="00E13AE3">
      <w:pPr>
        <w:jc w:val="center"/>
        <w:rPr>
          <w:b/>
          <w:sz w:val="21"/>
          <w:szCs w:val="21"/>
        </w:rPr>
      </w:pPr>
    </w:p>
    <w:p w14:paraId="17D4DC63" w14:textId="77777777" w:rsidR="00E13AE3" w:rsidRDefault="00E13AE3">
      <w:pPr>
        <w:jc w:val="center"/>
        <w:rPr>
          <w:b/>
          <w:sz w:val="21"/>
          <w:szCs w:val="21"/>
        </w:rPr>
      </w:pPr>
    </w:p>
    <w:p w14:paraId="5C17718B" w14:textId="77777777" w:rsidR="00E13AE3" w:rsidRDefault="00E13AE3">
      <w:pPr>
        <w:jc w:val="center"/>
        <w:rPr>
          <w:b/>
          <w:sz w:val="21"/>
          <w:szCs w:val="21"/>
        </w:rPr>
      </w:pPr>
    </w:p>
    <w:p w14:paraId="0A6BC873" w14:textId="77777777" w:rsidR="00E13AE3" w:rsidRDefault="00E13AE3">
      <w:pPr>
        <w:jc w:val="center"/>
        <w:rPr>
          <w:b/>
          <w:sz w:val="21"/>
          <w:szCs w:val="21"/>
        </w:rPr>
      </w:pPr>
    </w:p>
    <w:p w14:paraId="63F5AD48" w14:textId="77777777" w:rsidR="00E13AE3" w:rsidRDefault="00E13AE3">
      <w:pPr>
        <w:jc w:val="center"/>
        <w:rPr>
          <w:b/>
          <w:sz w:val="21"/>
          <w:szCs w:val="21"/>
        </w:rPr>
      </w:pPr>
    </w:p>
    <w:p w14:paraId="63058443" w14:textId="77777777" w:rsidR="00E13AE3" w:rsidRDefault="00B12E50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Document 3</w:t>
      </w:r>
    </w:p>
    <w:p w14:paraId="65AFE7C3" w14:textId="77777777" w:rsidR="00E13AE3" w:rsidRDefault="00E13AE3">
      <w:pPr>
        <w:jc w:val="center"/>
        <w:rPr>
          <w:b/>
          <w:sz w:val="21"/>
          <w:szCs w:val="21"/>
        </w:rPr>
      </w:pPr>
    </w:p>
    <w:tbl>
      <w:tblPr>
        <w:tblStyle w:val="a1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13AE3" w14:paraId="7266A4DD" w14:textId="77777777">
        <w:trPr>
          <w:jc w:val="center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B137C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lastRenderedPageBreak/>
              <w:t>Source: James I (of Scotland) and IV (of England) in a speech to the English Parliament c1610 CE</w:t>
            </w:r>
          </w:p>
          <w:p w14:paraId="49074840" w14:textId="77777777" w:rsidR="00E13AE3" w:rsidRDefault="00E13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1"/>
                <w:szCs w:val="21"/>
              </w:rPr>
            </w:pPr>
          </w:p>
          <w:p w14:paraId="376B8EAD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. . .The state of monarchy is the </w:t>
            </w:r>
            <w:proofErr w:type="spellStart"/>
            <w:r>
              <w:rPr>
                <w:sz w:val="21"/>
                <w:szCs w:val="21"/>
              </w:rPr>
              <w:t>supremest</w:t>
            </w:r>
            <w:proofErr w:type="spellEnd"/>
            <w:r>
              <w:rPr>
                <w:sz w:val="21"/>
                <w:szCs w:val="21"/>
              </w:rPr>
              <w:t xml:space="preserve"> thing upon earth, for kings are not only God's lieutenants upon earth and sit upon God's throne, but even by God h</w:t>
            </w:r>
            <w:r>
              <w:rPr>
                <w:sz w:val="21"/>
                <w:szCs w:val="21"/>
              </w:rPr>
              <w:t xml:space="preserve">imself they are called gods. There be three principal [comparisons] that illustrate the state of monarchy: one taken out of the word of God, and the two </w:t>
            </w:r>
            <w:proofErr w:type="gramStart"/>
            <w:r>
              <w:rPr>
                <w:sz w:val="21"/>
                <w:szCs w:val="21"/>
              </w:rPr>
              <w:t>other</w:t>
            </w:r>
            <w:proofErr w:type="gramEnd"/>
            <w:r>
              <w:rPr>
                <w:sz w:val="21"/>
                <w:szCs w:val="21"/>
              </w:rPr>
              <w:t xml:space="preserve"> out of the grounds of policy and philosophy. In the Scriptures kings are called gods, and so thei</w:t>
            </w:r>
            <w:r>
              <w:rPr>
                <w:sz w:val="21"/>
                <w:szCs w:val="21"/>
              </w:rPr>
              <w:t xml:space="preserve">r power after a certain relation compared to the Divine power. Kings are also compared to fathers of families; for a king is truly </w:t>
            </w:r>
            <w:proofErr w:type="spellStart"/>
            <w:r>
              <w:rPr>
                <w:sz w:val="21"/>
                <w:szCs w:val="21"/>
              </w:rPr>
              <w:t>parens</w:t>
            </w:r>
            <w:proofErr w:type="spellEnd"/>
            <w:r>
              <w:rPr>
                <w:sz w:val="21"/>
                <w:szCs w:val="21"/>
              </w:rPr>
              <w:t xml:space="preserve"> patriae [parent of the country], the politic father of his people. And lastly, kings are compared to the head of this </w:t>
            </w:r>
            <w:r>
              <w:rPr>
                <w:sz w:val="21"/>
                <w:szCs w:val="21"/>
              </w:rPr>
              <w:t>microcosm of the body of man . . .</w:t>
            </w:r>
          </w:p>
          <w:p w14:paraId="344D4B01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 conclude then this point touching the power of kings with this axiom of divinity, that as to dispute what God may do is blasphemy . . . so is it sedition in subjects to dispute what a king may do in the height of his po</w:t>
            </w:r>
            <w:r>
              <w:rPr>
                <w:sz w:val="21"/>
                <w:szCs w:val="21"/>
              </w:rPr>
              <w:t>wer. But just kings will ever be willing to declare what they will do, if they will not incur the curse of God. I will not be content that my power be disputed upon, but I shall ever be willing to make the reason appear of all my doings, and rule my action</w:t>
            </w:r>
            <w:r>
              <w:rPr>
                <w:sz w:val="21"/>
                <w:szCs w:val="21"/>
              </w:rPr>
              <w:t>s according to my laws . . .</w:t>
            </w:r>
          </w:p>
          <w:p w14:paraId="14433C22" w14:textId="77777777" w:rsidR="00E13AE3" w:rsidRDefault="00E13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1"/>
                <w:szCs w:val="21"/>
              </w:rPr>
            </w:pPr>
          </w:p>
        </w:tc>
      </w:tr>
    </w:tbl>
    <w:p w14:paraId="66CF9B2F" w14:textId="77777777" w:rsidR="00E13AE3" w:rsidRDefault="00E13AE3">
      <w:pPr>
        <w:jc w:val="center"/>
        <w:rPr>
          <w:b/>
          <w:sz w:val="21"/>
          <w:szCs w:val="21"/>
        </w:rPr>
      </w:pPr>
    </w:p>
    <w:p w14:paraId="45813F4D" w14:textId="77777777" w:rsidR="00E13AE3" w:rsidRDefault="00E13AE3">
      <w:pPr>
        <w:jc w:val="center"/>
        <w:rPr>
          <w:b/>
          <w:sz w:val="21"/>
          <w:szCs w:val="21"/>
        </w:rPr>
      </w:pPr>
    </w:p>
    <w:p w14:paraId="0A665607" w14:textId="77777777" w:rsidR="00E13AE3" w:rsidRDefault="00B12E50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14:paraId="12FEF0FC" w14:textId="77777777" w:rsidR="00E13AE3" w:rsidRDefault="00E13AE3">
      <w:pPr>
        <w:rPr>
          <w:b/>
          <w:sz w:val="21"/>
          <w:szCs w:val="21"/>
        </w:rPr>
      </w:pPr>
    </w:p>
    <w:p w14:paraId="596FADFD" w14:textId="77777777" w:rsidR="00E13AE3" w:rsidRDefault="00B12E50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Document 4</w:t>
      </w:r>
    </w:p>
    <w:p w14:paraId="2C72B6D3" w14:textId="77777777" w:rsidR="00E13AE3" w:rsidRDefault="00E13AE3">
      <w:pPr>
        <w:jc w:val="center"/>
        <w:rPr>
          <w:b/>
          <w:sz w:val="21"/>
          <w:szCs w:val="21"/>
        </w:rPr>
      </w:pPr>
    </w:p>
    <w:tbl>
      <w:tblPr>
        <w:tblStyle w:val="a2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13AE3" w14:paraId="019C4BDD" w14:textId="77777777">
        <w:trPr>
          <w:jc w:val="center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C966B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Source: Reception of Le Grande Condé by Louis XIV at Versailles in 1674, a painting by Jean-Léon </w:t>
            </w:r>
            <w:proofErr w:type="spellStart"/>
            <w:r>
              <w:rPr>
                <w:b/>
                <w:sz w:val="21"/>
                <w:szCs w:val="21"/>
              </w:rPr>
              <w:t>Gérôme</w:t>
            </w:r>
            <w:proofErr w:type="spellEnd"/>
            <w:r>
              <w:rPr>
                <w:b/>
                <w:sz w:val="21"/>
                <w:szCs w:val="21"/>
              </w:rPr>
              <w:t>, 19th century painter, depicting the French nobility made to reside at the Palace of Versailles during the reign of Louis XIV (1643-1715 CE).</w:t>
            </w:r>
          </w:p>
          <w:p w14:paraId="74835192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hidden="0" allowOverlap="1" wp14:anchorId="0E8CB39A" wp14:editId="46D2D131">
                  <wp:simplePos x="0" y="0"/>
                  <wp:positionH relativeFrom="column">
                    <wp:posOffset>357188</wp:posOffset>
                  </wp:positionH>
                  <wp:positionV relativeFrom="paragraph">
                    <wp:posOffset>9525</wp:posOffset>
                  </wp:positionV>
                  <wp:extent cx="5099367" cy="3489772"/>
                  <wp:effectExtent l="0" t="0" r="0" b="0"/>
                  <wp:wrapSquare wrapText="bothSides" distT="0" distB="0" distL="0" distR="0"/>
                  <wp:docPr id="2" name="image2.jpg" descr="geromecond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geromecond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9367" cy="34897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CDD51E9" w14:textId="77777777" w:rsidR="00E13AE3" w:rsidRDefault="00E13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64170645" w14:textId="77777777" w:rsidR="00E13AE3" w:rsidRDefault="00E13AE3">
      <w:pPr>
        <w:rPr>
          <w:sz w:val="21"/>
          <w:szCs w:val="21"/>
        </w:rPr>
      </w:pPr>
    </w:p>
    <w:p w14:paraId="62586C9E" w14:textId="77777777" w:rsidR="00E13AE3" w:rsidRDefault="00E13AE3">
      <w:pPr>
        <w:rPr>
          <w:sz w:val="21"/>
          <w:szCs w:val="21"/>
        </w:rPr>
      </w:pPr>
    </w:p>
    <w:p w14:paraId="754BCFBF" w14:textId="77777777" w:rsidR="00E13AE3" w:rsidRDefault="00E13AE3">
      <w:pPr>
        <w:rPr>
          <w:b/>
          <w:sz w:val="21"/>
          <w:szCs w:val="21"/>
        </w:rPr>
      </w:pPr>
    </w:p>
    <w:p w14:paraId="786DD73B" w14:textId="77777777" w:rsidR="00E13AE3" w:rsidRDefault="00B12E50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Document 5</w:t>
      </w:r>
    </w:p>
    <w:p w14:paraId="28E6F496" w14:textId="77777777" w:rsidR="00E13AE3" w:rsidRDefault="00E13AE3">
      <w:pPr>
        <w:rPr>
          <w:b/>
          <w:sz w:val="21"/>
          <w:szCs w:val="21"/>
        </w:rPr>
      </w:pPr>
    </w:p>
    <w:tbl>
      <w:tblPr>
        <w:tblStyle w:val="a3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13AE3" w14:paraId="0ABBB0D5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1E599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Source: Emperor Kangxi (r. 1661 to 1722), the second Qing emperor, “On Ruling”, part of Kangxi’s </w:t>
            </w:r>
            <w:r>
              <w:rPr>
                <w:b/>
                <w:sz w:val="21"/>
                <w:szCs w:val="21"/>
              </w:rPr>
              <w:lastRenderedPageBreak/>
              <w:t>autobiographical reflections on leadership.</w:t>
            </w:r>
          </w:p>
          <w:p w14:paraId="5E1206E1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</w:t>
            </w:r>
          </w:p>
          <w:p w14:paraId="749EDFF2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Talent does not depend of geographical location. Even in the mountain wilderness how can there be no </w:t>
            </w:r>
            <w:r>
              <w:rPr>
                <w:sz w:val="21"/>
                <w:szCs w:val="21"/>
              </w:rPr>
              <w:t>one with ability? Have the talented ever chosen where they were to be born? … When a person is truly good, then one should use him and promote him … regardless of whether he has advanced degrees….</w:t>
            </w:r>
          </w:p>
          <w:p w14:paraId="0E022A92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14:paraId="0427ECFF" w14:textId="77777777" w:rsidR="00E13AE3" w:rsidRDefault="00B12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The Doctrine of the Mean says: “The superior man does wha</w:t>
            </w:r>
            <w:r>
              <w:rPr>
                <w:sz w:val="21"/>
                <w:szCs w:val="21"/>
              </w:rPr>
              <w:t>t is proper to the station in which he is; he does not go beyond this. In a high situation, he does not treat with contempt his inferiors. In a low situation, he does not court the favor of his superiors. He rectifies himself, and seeks for nothing from ot</w:t>
            </w:r>
            <w:r>
              <w:rPr>
                <w:sz w:val="21"/>
                <w:szCs w:val="21"/>
              </w:rPr>
              <w:t xml:space="preserve">hers, so that he has no dissatisfaction. He does not murmur against Heaven nor grumble against man. </w:t>
            </w:r>
            <w:proofErr w:type="gramStart"/>
            <w:r>
              <w:rPr>
                <w:sz w:val="21"/>
                <w:szCs w:val="21"/>
              </w:rPr>
              <w:t>Thus</w:t>
            </w:r>
            <w:proofErr w:type="gramEnd"/>
            <w:r>
              <w:rPr>
                <w:sz w:val="21"/>
                <w:szCs w:val="21"/>
              </w:rPr>
              <w:t xml:space="preserve"> it is that the superior man is quiet and calm, waiting for the appointments of Heaven, while the mean man walks in dangerous paths, looking for lucky o</w:t>
            </w:r>
            <w:r>
              <w:rPr>
                <w:sz w:val="21"/>
                <w:szCs w:val="21"/>
              </w:rPr>
              <w:t>ccurrences.”</w:t>
            </w:r>
          </w:p>
        </w:tc>
      </w:tr>
    </w:tbl>
    <w:p w14:paraId="5D7B85B6" w14:textId="77777777" w:rsidR="00E13AE3" w:rsidRDefault="00E13AE3">
      <w:pPr>
        <w:rPr>
          <w:b/>
          <w:sz w:val="21"/>
          <w:szCs w:val="21"/>
        </w:rPr>
      </w:pPr>
    </w:p>
    <w:p w14:paraId="66C58902" w14:textId="77777777" w:rsidR="00E13AE3" w:rsidRDefault="00E13AE3">
      <w:pPr>
        <w:jc w:val="center"/>
        <w:rPr>
          <w:b/>
          <w:sz w:val="21"/>
          <w:szCs w:val="21"/>
        </w:rPr>
      </w:pPr>
    </w:p>
    <w:p w14:paraId="4325EF2A" w14:textId="77777777" w:rsidR="00E13AE3" w:rsidRDefault="00E13AE3">
      <w:pPr>
        <w:rPr>
          <w:b/>
          <w:sz w:val="21"/>
          <w:szCs w:val="21"/>
        </w:rPr>
      </w:pPr>
    </w:p>
    <w:p w14:paraId="2154E524" w14:textId="77777777" w:rsidR="00E13AE3" w:rsidRDefault="00E13AE3">
      <w:pPr>
        <w:rPr>
          <w:b/>
          <w:sz w:val="21"/>
          <w:szCs w:val="21"/>
        </w:rPr>
      </w:pPr>
    </w:p>
    <w:p w14:paraId="50E76979" w14:textId="77777777" w:rsidR="00E13AE3" w:rsidRDefault="00E13AE3">
      <w:pPr>
        <w:jc w:val="center"/>
        <w:rPr>
          <w:b/>
          <w:sz w:val="21"/>
          <w:szCs w:val="21"/>
        </w:rPr>
      </w:pPr>
    </w:p>
    <w:p w14:paraId="58C6272A" w14:textId="77777777" w:rsidR="00E13AE3" w:rsidRDefault="00E13AE3">
      <w:pPr>
        <w:jc w:val="center"/>
        <w:rPr>
          <w:b/>
          <w:sz w:val="21"/>
          <w:szCs w:val="21"/>
        </w:rPr>
      </w:pPr>
    </w:p>
    <w:p w14:paraId="44D958CA" w14:textId="77777777" w:rsidR="00E13AE3" w:rsidRDefault="00E13AE3">
      <w:pPr>
        <w:jc w:val="center"/>
        <w:rPr>
          <w:b/>
          <w:sz w:val="21"/>
          <w:szCs w:val="21"/>
        </w:rPr>
      </w:pPr>
    </w:p>
    <w:p w14:paraId="613011C0" w14:textId="77777777" w:rsidR="00E13AE3" w:rsidRDefault="00E13AE3">
      <w:pPr>
        <w:jc w:val="center"/>
        <w:rPr>
          <w:b/>
          <w:sz w:val="21"/>
          <w:szCs w:val="21"/>
        </w:rPr>
      </w:pPr>
    </w:p>
    <w:p w14:paraId="0C25E0D3" w14:textId="77777777" w:rsidR="00E13AE3" w:rsidRDefault="00E13AE3">
      <w:pPr>
        <w:jc w:val="center"/>
        <w:rPr>
          <w:b/>
          <w:sz w:val="21"/>
          <w:szCs w:val="21"/>
        </w:rPr>
      </w:pPr>
    </w:p>
    <w:p w14:paraId="242EAB9D" w14:textId="77777777" w:rsidR="00E13AE3" w:rsidRDefault="00E13AE3">
      <w:pPr>
        <w:jc w:val="center"/>
        <w:rPr>
          <w:b/>
          <w:sz w:val="21"/>
          <w:szCs w:val="21"/>
        </w:rPr>
      </w:pPr>
    </w:p>
    <w:p w14:paraId="2D7A58EA" w14:textId="77777777" w:rsidR="00E13AE3" w:rsidRDefault="00E13AE3">
      <w:pPr>
        <w:jc w:val="center"/>
        <w:rPr>
          <w:b/>
          <w:sz w:val="21"/>
          <w:szCs w:val="21"/>
        </w:rPr>
      </w:pPr>
    </w:p>
    <w:p w14:paraId="49B1C94C" w14:textId="77777777" w:rsidR="00E13AE3" w:rsidRDefault="00E13AE3">
      <w:pPr>
        <w:jc w:val="center"/>
        <w:rPr>
          <w:b/>
          <w:sz w:val="21"/>
          <w:szCs w:val="21"/>
        </w:rPr>
      </w:pPr>
    </w:p>
    <w:p w14:paraId="44843C9B" w14:textId="77777777" w:rsidR="00E13AE3" w:rsidRDefault="00E13AE3">
      <w:pPr>
        <w:rPr>
          <w:b/>
          <w:sz w:val="21"/>
          <w:szCs w:val="21"/>
        </w:rPr>
      </w:pPr>
    </w:p>
    <w:p w14:paraId="2015D18A" w14:textId="77777777" w:rsidR="00E13AE3" w:rsidRDefault="00E13AE3">
      <w:pPr>
        <w:rPr>
          <w:b/>
          <w:sz w:val="21"/>
          <w:szCs w:val="21"/>
        </w:rPr>
      </w:pPr>
    </w:p>
    <w:p w14:paraId="00145CB3" w14:textId="77777777" w:rsidR="00E13AE3" w:rsidRDefault="00E13AE3">
      <w:pPr>
        <w:jc w:val="center"/>
        <w:rPr>
          <w:b/>
          <w:sz w:val="21"/>
          <w:szCs w:val="21"/>
        </w:rPr>
      </w:pPr>
      <w:bookmarkStart w:id="1" w:name="_b8nc13oadl1y" w:colFirst="0" w:colLast="0"/>
      <w:bookmarkEnd w:id="1"/>
    </w:p>
    <w:p w14:paraId="2834F008" w14:textId="77777777" w:rsidR="00E13AE3" w:rsidRDefault="00E13AE3">
      <w:pPr>
        <w:rPr>
          <w:b/>
          <w:sz w:val="21"/>
          <w:szCs w:val="21"/>
        </w:rPr>
      </w:pPr>
    </w:p>
    <w:p w14:paraId="11E934CF" w14:textId="77777777" w:rsidR="00E13AE3" w:rsidRDefault="00E13AE3">
      <w:pPr>
        <w:rPr>
          <w:b/>
          <w:sz w:val="21"/>
          <w:szCs w:val="21"/>
        </w:rPr>
      </w:pPr>
    </w:p>
    <w:p w14:paraId="3A9B9868" w14:textId="77777777" w:rsidR="00E13AE3" w:rsidRDefault="00E13AE3">
      <w:pPr>
        <w:rPr>
          <w:b/>
          <w:sz w:val="21"/>
          <w:szCs w:val="21"/>
        </w:rPr>
      </w:pPr>
    </w:p>
    <w:p w14:paraId="7E3291E3" w14:textId="77777777" w:rsidR="00E13AE3" w:rsidRDefault="00E13AE3">
      <w:pPr>
        <w:rPr>
          <w:b/>
          <w:sz w:val="21"/>
          <w:szCs w:val="21"/>
        </w:rPr>
      </w:pPr>
    </w:p>
    <w:p w14:paraId="7513B5EF" w14:textId="77777777" w:rsidR="00E13AE3" w:rsidRDefault="00E13AE3">
      <w:pPr>
        <w:rPr>
          <w:b/>
          <w:sz w:val="21"/>
          <w:szCs w:val="21"/>
        </w:rPr>
      </w:pPr>
    </w:p>
    <w:p w14:paraId="1037976D" w14:textId="77777777" w:rsidR="00E13AE3" w:rsidRDefault="00E13AE3">
      <w:pPr>
        <w:rPr>
          <w:b/>
          <w:sz w:val="21"/>
          <w:szCs w:val="21"/>
        </w:rPr>
      </w:pPr>
    </w:p>
    <w:p w14:paraId="3FB8DEFB" w14:textId="77777777" w:rsidR="00E13AE3" w:rsidRDefault="00E13AE3">
      <w:pPr>
        <w:jc w:val="both"/>
        <w:rPr>
          <w:sz w:val="21"/>
          <w:szCs w:val="21"/>
        </w:rPr>
      </w:pPr>
    </w:p>
    <w:p w14:paraId="324F075F" w14:textId="77777777" w:rsidR="00E13AE3" w:rsidRDefault="00E13AE3">
      <w:pPr>
        <w:jc w:val="both"/>
        <w:rPr>
          <w:sz w:val="21"/>
          <w:szCs w:val="21"/>
        </w:rPr>
      </w:pPr>
    </w:p>
    <w:p w14:paraId="1CDA863B" w14:textId="77777777" w:rsidR="00E13AE3" w:rsidRDefault="00E13AE3">
      <w:pPr>
        <w:jc w:val="both"/>
        <w:rPr>
          <w:sz w:val="21"/>
          <w:szCs w:val="21"/>
        </w:rPr>
      </w:pPr>
    </w:p>
    <w:p w14:paraId="065C3A30" w14:textId="77777777" w:rsidR="00E13AE3" w:rsidRDefault="00E13AE3">
      <w:pPr>
        <w:rPr>
          <w:sz w:val="21"/>
          <w:szCs w:val="21"/>
        </w:rPr>
      </w:pPr>
    </w:p>
    <w:sectPr w:rsidR="00E13AE3">
      <w:footerReference w:type="default" r:id="rId8"/>
      <w:pgSz w:w="12240" w:h="15840"/>
      <w:pgMar w:top="81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9F618" w14:textId="77777777" w:rsidR="00B12E50" w:rsidRDefault="00B12E50">
      <w:r>
        <w:separator/>
      </w:r>
    </w:p>
  </w:endnote>
  <w:endnote w:type="continuationSeparator" w:id="0">
    <w:p w14:paraId="2CF86D1C" w14:textId="77777777" w:rsidR="00B12E50" w:rsidRDefault="00B1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580A7" w14:textId="77777777" w:rsidR="00E13AE3" w:rsidRDefault="00E13A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b/>
        <w:color w:val="000000"/>
        <w:sz w:val="22"/>
        <w:szCs w:val="22"/>
      </w:rPr>
    </w:pPr>
  </w:p>
  <w:p w14:paraId="667560A8" w14:textId="77777777" w:rsidR="00E13AE3" w:rsidRDefault="00E13A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53803" w14:textId="77777777" w:rsidR="00B12E50" w:rsidRDefault="00B12E50">
      <w:r>
        <w:separator/>
      </w:r>
    </w:p>
  </w:footnote>
  <w:footnote w:type="continuationSeparator" w:id="0">
    <w:p w14:paraId="489B04C0" w14:textId="77777777" w:rsidR="00B12E50" w:rsidRDefault="00B12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AE3"/>
    <w:rsid w:val="00AD4FE7"/>
    <w:rsid w:val="00B12E50"/>
    <w:rsid w:val="00E1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E1592"/>
  <w15:docId w15:val="{C057C008-CA9C-4360-86B1-B7D4DE0B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2988</Characters>
  <Application>Microsoft Office Word</Application>
  <DocSecurity>0</DocSecurity>
  <Lines>24</Lines>
  <Paragraphs>7</Paragraphs>
  <ScaleCrop>false</ScaleCrop>
  <Company>Iroquois Central School District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Colleen McCoy</cp:lastModifiedBy>
  <cp:revision>2</cp:revision>
  <dcterms:created xsi:type="dcterms:W3CDTF">2020-05-15T10:07:00Z</dcterms:created>
  <dcterms:modified xsi:type="dcterms:W3CDTF">2020-05-15T10:07:00Z</dcterms:modified>
</cp:coreProperties>
</file>