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bookmarkStart w:colFirst="0" w:colLast="0" w:name="_heading=h.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1800225</wp:posOffset>
            </wp:positionH>
            <wp:positionV relativeFrom="paragraph">
              <wp:posOffset>-409574</wp:posOffset>
            </wp:positionV>
            <wp:extent cx="2552700" cy="781050"/>
            <wp:effectExtent b="0" l="0" r="0" t="0"/>
            <wp:wrapNone/>
            <wp:docPr descr="C:\Users\teresa.alexander\AppData\Local\Microsoft\Windows\INetCache\Content.MSO\1E657427.tmp" id="2" name="image1.png"/>
            <a:graphic>
              <a:graphicData uri="http://schemas.openxmlformats.org/drawingml/2006/picture">
                <pic:pic>
                  <pic:nvPicPr>
                    <pic:cNvPr descr="C:\Users\teresa.alexander\AppData\Local\Microsoft\Windows\INetCache\Content.MSO\1E657427.tmp" id="0" name="image1.png"/>
                    <pic:cNvPicPr preferRelativeResize="0"/>
                  </pic:nvPicPr>
                  <pic:blipFill>
                    <a:blip r:embed="rId7"/>
                    <a:srcRect b="0" l="0" r="0" t="0"/>
                    <a:stretch>
                      <a:fillRect/>
                    </a:stretch>
                  </pic:blipFill>
                  <pic:spPr>
                    <a:xfrm>
                      <a:off x="0" y="0"/>
                      <a:ext cx="2552700" cy="781050"/>
                    </a:xfrm>
                    <a:prstGeom prst="rect"/>
                    <a:ln/>
                  </pic:spPr>
                </pic:pic>
              </a:graphicData>
            </a:graphic>
          </wp:anchor>
        </w:drawing>
      </w:r>
    </w:p>
    <w:p w:rsidR="00000000" w:rsidDel="00000000" w:rsidP="00000000" w:rsidRDefault="00000000" w:rsidRPr="00000000" w14:paraId="00000002">
      <w:pPr>
        <w:jc w:val="center"/>
        <w:rPr>
          <w:b w:val="1"/>
          <w:color w:val="421c5e"/>
          <w:sz w:val="32"/>
          <w:szCs w:val="32"/>
        </w:rPr>
      </w:pPr>
      <w:r w:rsidDel="00000000" w:rsidR="00000000" w:rsidRPr="00000000">
        <w:rPr>
          <w:rtl w:val="0"/>
        </w:rPr>
      </w:r>
    </w:p>
    <w:p w:rsidR="00000000" w:rsidDel="00000000" w:rsidP="00000000" w:rsidRDefault="00000000" w:rsidRPr="00000000" w14:paraId="00000003">
      <w:pPr>
        <w:jc w:val="center"/>
        <w:rPr>
          <w:b w:val="1"/>
          <w:color w:val="421c5e"/>
          <w:sz w:val="16"/>
          <w:szCs w:val="16"/>
        </w:rPr>
      </w:pPr>
      <w:r w:rsidDel="00000000" w:rsidR="00000000" w:rsidRPr="00000000">
        <w:rPr>
          <w:b w:val="1"/>
          <w:color w:val="421c5e"/>
          <w:sz w:val="32"/>
          <w:szCs w:val="32"/>
          <w:rtl w:val="0"/>
        </w:rPr>
        <w:t xml:space="preserve">COLUMN MOVEMENT INFORMATION</w:t>
      </w:r>
      <w:r w:rsidDel="00000000" w:rsidR="00000000" w:rsidRPr="00000000">
        <w:rPr>
          <w:rtl w:val="0"/>
        </w:rPr>
      </w:r>
    </w:p>
    <w:p w:rsidR="00000000" w:rsidDel="00000000" w:rsidP="00000000" w:rsidRDefault="00000000" w:rsidRPr="00000000" w14:paraId="00000004">
      <w:pPr>
        <w:jc w:val="both"/>
        <w:rPr>
          <w:b w:val="1"/>
          <w:color w:val="421c5e"/>
          <w:sz w:val="16"/>
          <w:szCs w:val="16"/>
        </w:rPr>
      </w:pPr>
      <w:r w:rsidDel="00000000" w:rsidR="00000000" w:rsidRPr="00000000">
        <w:rPr>
          <w:rtl w:val="0"/>
        </w:rPr>
      </w:r>
    </w:p>
    <w:p w:rsidR="00000000" w:rsidDel="00000000" w:rsidP="00000000" w:rsidRDefault="00000000" w:rsidRPr="00000000" w14:paraId="00000005">
      <w:pPr>
        <w:jc w:val="both"/>
        <w:rPr>
          <w:b w:val="1"/>
          <w:sz w:val="24"/>
          <w:szCs w:val="24"/>
        </w:rPr>
      </w:pPr>
      <w:r w:rsidDel="00000000" w:rsidR="00000000" w:rsidRPr="00000000">
        <w:rPr>
          <w:b w:val="1"/>
          <w:color w:val="421c5e"/>
          <w:sz w:val="28"/>
          <w:szCs w:val="28"/>
          <w:rtl w:val="0"/>
        </w:rPr>
        <w:t xml:space="preserve">Movement to the Salary Schedule:</w:t>
      </w:r>
      <w:r w:rsidDel="00000000" w:rsidR="00000000" w:rsidRPr="00000000">
        <w:rPr>
          <w:b w:val="1"/>
          <w:color w:val="421c5e"/>
          <w:sz w:val="24"/>
          <w:szCs w:val="24"/>
          <w:rtl w:val="0"/>
        </w:rPr>
        <w:t xml:space="preserve">  </w:t>
      </w:r>
      <w:r w:rsidDel="00000000" w:rsidR="00000000" w:rsidRPr="00000000">
        <w:rPr>
          <w:b w:val="1"/>
          <w:sz w:val="24"/>
          <w:szCs w:val="24"/>
          <w:rtl w:val="0"/>
        </w:rPr>
        <w:t xml:space="preserve">Horizontal advancement on the schedule will be based upon the number of additional credit hours earned after the highest degree is attained and since the last column movement.  Any hours earned beyond what is needed for the current movement will be carried over for future use.  Such hours shall be filed in the District Office no later than October 1 of each year.</w:t>
      </w:r>
    </w:p>
    <w:p w:rsidR="00000000" w:rsidDel="00000000" w:rsidP="00000000" w:rsidRDefault="00000000" w:rsidRPr="00000000" w14:paraId="00000006">
      <w:pPr>
        <w:jc w:val="both"/>
        <w:rPr>
          <w:b w:val="1"/>
          <w:sz w:val="24"/>
          <w:szCs w:val="24"/>
        </w:rPr>
      </w:pPr>
      <w:r w:rsidDel="00000000" w:rsidR="00000000" w:rsidRPr="00000000">
        <w:rPr>
          <w:b w:val="1"/>
          <w:sz w:val="24"/>
          <w:szCs w:val="24"/>
          <w:rtl w:val="0"/>
        </w:rPr>
        <w:t xml:space="preserve">A certified transcript of credits earned or a properly authorized confirmation letter shall be required as suitable evidence.</w:t>
      </w:r>
    </w:p>
    <w:p w:rsidR="00000000" w:rsidDel="00000000" w:rsidP="00000000" w:rsidRDefault="00000000" w:rsidRPr="00000000" w14:paraId="00000007">
      <w:pPr>
        <w:jc w:val="both"/>
        <w:rPr>
          <w:b w:val="1"/>
          <w:sz w:val="24"/>
          <w:szCs w:val="24"/>
        </w:rPr>
      </w:pPr>
      <w:r w:rsidDel="00000000" w:rsidR="00000000" w:rsidRPr="00000000">
        <w:rPr>
          <w:b w:val="1"/>
          <w:sz w:val="24"/>
          <w:szCs w:val="24"/>
          <w:rtl w:val="0"/>
        </w:rPr>
        <w:t xml:space="preserve">a.  All hours necessary for horizontal advancement on the salary schedule must meet the approval of the Superintendent of Schools.  All such requests and approvals shall be in writing (see Appendix D form).  The criteria for approval shall be whether or not the hours will benefit the teacher’s performance in Valley Center USD 262, or classes required in an advanced degree program.</w:t>
      </w:r>
    </w:p>
    <w:p w:rsidR="00000000" w:rsidDel="00000000" w:rsidP="00000000" w:rsidRDefault="00000000" w:rsidRPr="00000000" w14:paraId="00000008">
      <w:pPr>
        <w:jc w:val="both"/>
        <w:rPr>
          <w:b w:val="1"/>
          <w:sz w:val="24"/>
          <w:szCs w:val="24"/>
        </w:rPr>
      </w:pPr>
      <w:r w:rsidDel="00000000" w:rsidR="00000000" w:rsidRPr="00000000">
        <w:rPr>
          <w:b w:val="1"/>
          <w:sz w:val="24"/>
          <w:szCs w:val="24"/>
          <w:rtl w:val="0"/>
        </w:rPr>
        <w:t xml:space="preserve">b.  In the event a course for advancement on the salary schedule is rejected by the Superintendent, within 30 days the teacher involved may appeal this decision to an Appeal Board consisting of the Superintendent of Schools, a Board Member, the assistant superintendent, the building Administrator from the building in which the teacher teaches, and a teacher who represents the area in which the teacher teaches.  The decision should be made by the Appeal Board within ten (10) days.</w:t>
      </w:r>
    </w:p>
    <w:p w:rsidR="00000000" w:rsidDel="00000000" w:rsidP="00000000" w:rsidRDefault="00000000" w:rsidRPr="00000000" w14:paraId="00000009">
      <w:pPr>
        <w:jc w:val="both"/>
        <w:rPr>
          <w:b w:val="1"/>
          <w:sz w:val="24"/>
          <w:szCs w:val="24"/>
        </w:rPr>
      </w:pPr>
      <w:r w:rsidDel="00000000" w:rsidR="00000000" w:rsidRPr="00000000">
        <w:rPr>
          <w:b w:val="1"/>
          <w:sz w:val="24"/>
          <w:szCs w:val="24"/>
          <w:rtl w:val="0"/>
        </w:rPr>
        <w:t xml:space="preserve">c.  Teachers who intend to move columns must notify the district office by the last Friday in May.  An official transcript of all credit hours earned for column movement must be submitted by October 1</w:t>
      </w:r>
      <w:r w:rsidDel="00000000" w:rsidR="00000000" w:rsidRPr="00000000">
        <w:rPr>
          <w:b w:val="1"/>
          <w:sz w:val="24"/>
          <w:szCs w:val="24"/>
          <w:vertAlign w:val="superscript"/>
          <w:rtl w:val="0"/>
        </w:rPr>
        <w:t xml:space="preserve">st</w:t>
      </w:r>
      <w:r w:rsidDel="00000000" w:rsidR="00000000" w:rsidRPr="00000000">
        <w:rPr>
          <w:b w:val="1"/>
          <w:sz w:val="24"/>
          <w:szCs w:val="24"/>
          <w:rtl w:val="0"/>
        </w:rPr>
        <w:t xml:space="preserve"> of the year of movement. </w:t>
      </w:r>
    </w:p>
    <w:p w:rsidR="00000000" w:rsidDel="00000000" w:rsidP="00000000" w:rsidRDefault="00000000" w:rsidRPr="00000000" w14:paraId="0000000A">
      <w:pPr>
        <w:jc w:val="both"/>
        <w:rPr>
          <w:b w:val="1"/>
          <w:sz w:val="16"/>
          <w:szCs w:val="16"/>
        </w:rPr>
      </w:pPr>
      <w:r w:rsidDel="00000000" w:rsidR="00000000" w:rsidRPr="00000000">
        <w:rPr>
          <w:rtl w:val="0"/>
        </w:rPr>
      </w:r>
    </w:p>
    <w:p w:rsidR="00000000" w:rsidDel="00000000" w:rsidP="00000000" w:rsidRDefault="00000000" w:rsidRPr="00000000" w14:paraId="0000000B">
      <w:pPr>
        <w:jc w:val="both"/>
        <w:rPr>
          <w:b w:val="1"/>
          <w:sz w:val="24"/>
          <w:szCs w:val="24"/>
        </w:rPr>
      </w:pPr>
      <w:r w:rsidDel="00000000" w:rsidR="00000000" w:rsidRPr="00000000">
        <w:rPr>
          <w:b w:val="1"/>
          <w:color w:val="421c5e"/>
          <w:sz w:val="28"/>
          <w:szCs w:val="28"/>
          <w:rtl w:val="0"/>
        </w:rPr>
        <w:t xml:space="preserve">Inservice Points for Salary Advancement:</w:t>
      </w:r>
      <w:r w:rsidDel="00000000" w:rsidR="00000000" w:rsidRPr="00000000">
        <w:rPr>
          <w:b w:val="1"/>
          <w:color w:val="421c5e"/>
          <w:sz w:val="24"/>
          <w:szCs w:val="24"/>
          <w:rtl w:val="0"/>
        </w:rPr>
        <w:t xml:space="preserve"> </w:t>
      </w:r>
      <w:r w:rsidDel="00000000" w:rsidR="00000000" w:rsidRPr="00000000">
        <w:rPr>
          <w:b w:val="1"/>
          <w:sz w:val="24"/>
          <w:szCs w:val="24"/>
          <w:rtl w:val="0"/>
        </w:rPr>
        <w:t xml:space="preserve">A teacher with an approved professional development plan may count each twenty (20) points earned equivalent to one graduate hour of college credit up to the equivalent six (6) college credits.  These 120 points are the equivalent of six (6) college credits for advancement to MA+12, MA+24, MA+36, MA+48 and MA+60.</w:t>
      </w:r>
    </w:p>
    <w:p w:rsidR="00000000" w:rsidDel="00000000" w:rsidP="00000000" w:rsidRDefault="00000000" w:rsidRPr="00000000" w14:paraId="0000000C">
      <w:pPr>
        <w:jc w:val="both"/>
        <w:rPr>
          <w:b w:val="1"/>
          <w:sz w:val="24"/>
          <w:szCs w:val="24"/>
        </w:rPr>
      </w:pPr>
      <w:r w:rsidDel="00000000" w:rsidR="00000000" w:rsidRPr="00000000">
        <w:rPr>
          <w:b w:val="1"/>
          <w:sz w:val="24"/>
          <w:szCs w:val="24"/>
          <w:rtl w:val="0"/>
        </w:rPr>
        <w:t xml:space="preserve">Individuals with a Master’s Degree may move columns on the salary schedule by using 120 knowledge or application level points plus any combination of 120 points received from college credits and/or impact level points (20 impact points = 1 college credit). The points for salary advancement must be earned during the current license cycle, unless the cycle renews during the school year the advancement is requested.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A2IS04eq36eyaompNULAzvfnxg==">CgMxLjAyCGguZ2pkZ3hzOAByITFLOEw5cWs0S2g1YTdqS1lpX3lkejg4SHFrbFRqaTR5Sg==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2023-12-15T18:46:00Z</dcterms:created>
  <dc:creator>Carla Clark</dc:creator>
</cp:coreProperties>
</file>