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8925" w:type="dxa"/>
        <w:jc w:val="center"/>
        <w:tblCellSpacing w:w="0" w:type="dxa"/>
        <w:tblCellMar>
          <w:left w:w="0" w:type="dxa"/>
          <w:right w:w="0" w:type="dxa"/>
        </w:tblCellMar>
        <w:tblLook w:val="0000"/>
      </w:tblPr>
      <w:tblGrid>
        <w:gridCol w:w="4697"/>
        <w:gridCol w:w="4228"/>
      </w:tblGrid>
      <w:tr w:rsidR="000A04EE">
        <w:trPr>
          <w:trHeight w:val="1020"/>
          <w:tblCellSpacing w:w="0" w:type="dxa"/>
          <w:jc w:val="center"/>
        </w:trPr>
        <w:tc>
          <w:tcPr>
            <w:tcW w:w="4890" w:type="dxa"/>
            <w:shd w:val="clear" w:color="auto" w:fill="auto"/>
            <w:vAlign w:val="bottom"/>
          </w:tcPr>
          <w:p w:rsidR="000A04EE" w:rsidRDefault="000A04EE">
            <w:pPr>
              <w:rPr>
                <w:color w:val="600060"/>
              </w:rPr>
            </w:pPr>
            <w:r>
              <w:rPr>
                <w:color w:val="000000"/>
                <w:sz w:val="48"/>
                <w:szCs w:val="48"/>
              </w:rPr>
              <w:t>School Corner</w:t>
            </w:r>
          </w:p>
        </w:tc>
        <w:tc>
          <w:tcPr>
            <w:tcW w:w="4035" w:type="dxa"/>
            <w:shd w:val="clear" w:color="auto" w:fill="auto"/>
          </w:tcPr>
          <w:p w:rsidR="000A04EE" w:rsidRDefault="00E31C11">
            <w:pPr>
              <w:jc w:val="right"/>
              <w:rPr>
                <w:color w:val="600060"/>
              </w:rPr>
            </w:pPr>
            <w:r>
              <w:rPr>
                <w:noProof/>
                <w:color w:val="FF3366"/>
              </w:rPr>
              <w:drawing>
                <wp:inline distT="0" distB="0" distL="0" distR="0">
                  <wp:extent cx="1320800" cy="647700"/>
                  <wp:effectExtent l="0" t="0" r="0" b="0"/>
                  <wp:docPr id="3" name="Picture 3" descr="Go back to American Hospice Foundation">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o back to American Hospice Foundation">
                            <a:hlinkClick r:id="rId5"/>
                          </pic:cNvPr>
                          <pic:cNvPicPr>
                            <a:picLocks noChangeAspect="1" noChangeArrowheads="1"/>
                          </pic:cNvPicPr>
                        </pic:nvPicPr>
                        <pic:blipFill>
                          <a:blip r:embed="rId6"/>
                          <a:srcRect/>
                          <a:stretch>
                            <a:fillRect/>
                          </a:stretch>
                        </pic:blipFill>
                        <pic:spPr bwMode="auto">
                          <a:xfrm>
                            <a:off x="0" y="0"/>
                            <a:ext cx="1320800" cy="647700"/>
                          </a:xfrm>
                          <a:prstGeom prst="rect">
                            <a:avLst/>
                          </a:prstGeom>
                          <a:noFill/>
                          <a:ln w="9525">
                            <a:noFill/>
                            <a:miter lim="800000"/>
                            <a:headEnd/>
                            <a:tailEnd/>
                          </a:ln>
                        </pic:spPr>
                      </pic:pic>
                    </a:graphicData>
                  </a:graphic>
                </wp:inline>
              </w:drawing>
            </w:r>
          </w:p>
        </w:tc>
      </w:tr>
      <w:tr w:rsidR="000A04EE">
        <w:trPr>
          <w:trHeight w:val="180"/>
          <w:tblCellSpacing w:w="0" w:type="dxa"/>
          <w:jc w:val="center"/>
        </w:trPr>
        <w:tc>
          <w:tcPr>
            <w:tcW w:w="0" w:type="auto"/>
            <w:gridSpan w:val="2"/>
            <w:shd w:val="clear" w:color="auto" w:fill="FF0085"/>
            <w:vAlign w:val="center"/>
          </w:tcPr>
          <w:p w:rsidR="000A04EE" w:rsidRDefault="000A04EE">
            <w:pPr>
              <w:spacing w:line="180" w:lineRule="atLeast"/>
              <w:rPr>
                <w:color w:val="600060"/>
              </w:rPr>
            </w:pPr>
            <w:r>
              <w:rPr>
                <w:sz w:val="15"/>
                <w:szCs w:val="15"/>
              </w:rPr>
              <w:t> </w:t>
            </w:r>
          </w:p>
        </w:tc>
      </w:tr>
      <w:tr w:rsidR="000A04EE">
        <w:trPr>
          <w:trHeight w:val="540"/>
          <w:tblCellSpacing w:w="0" w:type="dxa"/>
          <w:jc w:val="center"/>
        </w:trPr>
        <w:tc>
          <w:tcPr>
            <w:tcW w:w="0" w:type="auto"/>
            <w:gridSpan w:val="2"/>
            <w:shd w:val="clear" w:color="auto" w:fill="auto"/>
            <w:vAlign w:val="center"/>
          </w:tcPr>
          <w:p w:rsidR="000A04EE" w:rsidRDefault="00E31C11">
            <w:pPr>
              <w:jc w:val="center"/>
              <w:rPr>
                <w:color w:val="600060"/>
              </w:rPr>
            </w:pPr>
            <w:r>
              <w:rPr>
                <w:noProof/>
                <w:color w:val="FF3366"/>
              </w:rPr>
              <w:drawing>
                <wp:inline distT="0" distB="0" distL="0" distR="0">
                  <wp:extent cx="1435100" cy="292100"/>
                  <wp:effectExtent l="19050" t="0" r="0" b="0"/>
                  <wp:docPr id="4" name="imgupper1" descr="Main Pag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upper1" descr="Main Page">
                            <a:hlinkClick r:id="rId7"/>
                          </pic:cNvPr>
                          <pic:cNvPicPr>
                            <a:picLocks noChangeAspect="1" noChangeArrowheads="1"/>
                          </pic:cNvPicPr>
                        </pic:nvPicPr>
                        <pic:blipFill>
                          <a:blip r:embed="rId8"/>
                          <a:srcRect/>
                          <a:stretch>
                            <a:fillRect/>
                          </a:stretch>
                        </pic:blipFill>
                        <pic:spPr bwMode="auto">
                          <a:xfrm>
                            <a:off x="0" y="0"/>
                            <a:ext cx="1435100" cy="292100"/>
                          </a:xfrm>
                          <a:prstGeom prst="rect">
                            <a:avLst/>
                          </a:prstGeom>
                          <a:noFill/>
                          <a:ln w="9525">
                            <a:noFill/>
                            <a:miter lim="800000"/>
                            <a:headEnd/>
                            <a:tailEnd/>
                          </a:ln>
                        </pic:spPr>
                      </pic:pic>
                    </a:graphicData>
                  </a:graphic>
                </wp:inline>
              </w:drawing>
            </w:r>
            <w:r>
              <w:rPr>
                <w:noProof/>
                <w:color w:val="FF3366"/>
              </w:rPr>
              <w:drawing>
                <wp:inline distT="0" distB="0" distL="0" distR="0">
                  <wp:extent cx="1435100" cy="292100"/>
                  <wp:effectExtent l="19050" t="0" r="0" b="0"/>
                  <wp:docPr id="5" name="imgupper2" descr="Articles">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upper2" descr="Articles">
                            <a:hlinkClick r:id="rId9"/>
                          </pic:cNvPr>
                          <pic:cNvPicPr>
                            <a:picLocks noChangeAspect="1" noChangeArrowheads="1"/>
                          </pic:cNvPicPr>
                        </pic:nvPicPr>
                        <pic:blipFill>
                          <a:blip r:embed="rId10"/>
                          <a:srcRect/>
                          <a:stretch>
                            <a:fillRect/>
                          </a:stretch>
                        </pic:blipFill>
                        <pic:spPr bwMode="auto">
                          <a:xfrm>
                            <a:off x="0" y="0"/>
                            <a:ext cx="1435100" cy="292100"/>
                          </a:xfrm>
                          <a:prstGeom prst="rect">
                            <a:avLst/>
                          </a:prstGeom>
                          <a:noFill/>
                          <a:ln w="9525">
                            <a:noFill/>
                            <a:miter lim="800000"/>
                            <a:headEnd/>
                            <a:tailEnd/>
                          </a:ln>
                        </pic:spPr>
                      </pic:pic>
                    </a:graphicData>
                  </a:graphic>
                </wp:inline>
              </w:drawing>
            </w:r>
            <w:r>
              <w:rPr>
                <w:noProof/>
                <w:color w:val="FF3366"/>
              </w:rPr>
              <w:drawing>
                <wp:inline distT="0" distB="0" distL="0" distR="0">
                  <wp:extent cx="1435100" cy="292100"/>
                  <wp:effectExtent l="19050" t="0" r="0" b="0"/>
                  <wp:docPr id="6" name="imgUpper5" descr="Resources/Tools">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Upper5" descr="Resources/Tools">
                            <a:hlinkClick r:id="rId11"/>
                          </pic:cNvPr>
                          <pic:cNvPicPr>
                            <a:picLocks noChangeAspect="1" noChangeArrowheads="1"/>
                          </pic:cNvPicPr>
                        </pic:nvPicPr>
                        <pic:blipFill>
                          <a:blip r:embed="rId12"/>
                          <a:srcRect/>
                          <a:stretch>
                            <a:fillRect/>
                          </a:stretch>
                        </pic:blipFill>
                        <pic:spPr bwMode="auto">
                          <a:xfrm>
                            <a:off x="0" y="0"/>
                            <a:ext cx="1435100" cy="292100"/>
                          </a:xfrm>
                          <a:prstGeom prst="rect">
                            <a:avLst/>
                          </a:prstGeom>
                          <a:noFill/>
                          <a:ln w="9525">
                            <a:noFill/>
                            <a:miter lim="800000"/>
                            <a:headEnd/>
                            <a:tailEnd/>
                          </a:ln>
                        </pic:spPr>
                      </pic:pic>
                    </a:graphicData>
                  </a:graphic>
                </wp:inline>
              </w:drawing>
            </w:r>
            <w:r>
              <w:rPr>
                <w:noProof/>
                <w:color w:val="FF3366"/>
              </w:rPr>
              <w:drawing>
                <wp:inline distT="0" distB="0" distL="0" distR="0">
                  <wp:extent cx="1435100" cy="292100"/>
                  <wp:effectExtent l="19050" t="0" r="0" b="0"/>
                  <wp:docPr id="7" name="imgupper4" descr="Fact Sheets">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upper4" descr="Fact Sheets">
                            <a:hlinkClick r:id="rId13"/>
                          </pic:cNvPr>
                          <pic:cNvPicPr>
                            <a:picLocks noChangeAspect="1" noChangeArrowheads="1"/>
                          </pic:cNvPicPr>
                        </pic:nvPicPr>
                        <pic:blipFill>
                          <a:blip r:embed="rId14"/>
                          <a:srcRect/>
                          <a:stretch>
                            <a:fillRect/>
                          </a:stretch>
                        </pic:blipFill>
                        <pic:spPr bwMode="auto">
                          <a:xfrm>
                            <a:off x="0" y="0"/>
                            <a:ext cx="1435100" cy="292100"/>
                          </a:xfrm>
                          <a:prstGeom prst="rect">
                            <a:avLst/>
                          </a:prstGeom>
                          <a:noFill/>
                          <a:ln w="9525">
                            <a:noFill/>
                            <a:miter lim="800000"/>
                            <a:headEnd/>
                            <a:tailEnd/>
                          </a:ln>
                        </pic:spPr>
                      </pic:pic>
                    </a:graphicData>
                  </a:graphic>
                </wp:inline>
              </w:drawing>
            </w:r>
            <w:r>
              <w:rPr>
                <w:noProof/>
                <w:color w:val="FF3366"/>
              </w:rPr>
              <w:drawing>
                <wp:inline distT="0" distB="0" distL="0" distR="0">
                  <wp:extent cx="1130300" cy="228600"/>
                  <wp:effectExtent l="19050" t="0" r="0" b="0"/>
                  <wp:docPr id="8" name="imgUpper6" descr="Book Reviews">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Upper6" descr="Book Reviews">
                            <a:hlinkClick r:id="rId15"/>
                          </pic:cNvPr>
                          <pic:cNvPicPr>
                            <a:picLocks noChangeAspect="1" noChangeArrowheads="1"/>
                          </pic:cNvPicPr>
                        </pic:nvPicPr>
                        <pic:blipFill>
                          <a:blip r:embed="rId16"/>
                          <a:srcRect/>
                          <a:stretch>
                            <a:fillRect/>
                          </a:stretch>
                        </pic:blipFill>
                        <pic:spPr bwMode="auto">
                          <a:xfrm>
                            <a:off x="0" y="0"/>
                            <a:ext cx="1130300" cy="228600"/>
                          </a:xfrm>
                          <a:prstGeom prst="rect">
                            <a:avLst/>
                          </a:prstGeom>
                          <a:noFill/>
                          <a:ln w="9525">
                            <a:noFill/>
                            <a:miter lim="800000"/>
                            <a:headEnd/>
                            <a:tailEnd/>
                          </a:ln>
                        </pic:spPr>
                      </pic:pic>
                    </a:graphicData>
                  </a:graphic>
                </wp:inline>
              </w:drawing>
            </w:r>
            <w:r>
              <w:rPr>
                <w:noProof/>
                <w:color w:val="FF3366"/>
              </w:rPr>
              <w:drawing>
                <wp:inline distT="0" distB="0" distL="0" distR="0">
                  <wp:extent cx="1435100" cy="292100"/>
                  <wp:effectExtent l="19050" t="0" r="0" b="0"/>
                  <wp:docPr id="9" name="imgUpper7" descr="Helpful Products">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Upper7" descr="Helpful Products">
                            <a:hlinkClick r:id="rId17"/>
                          </pic:cNvPr>
                          <pic:cNvPicPr>
                            <a:picLocks noChangeAspect="1" noChangeArrowheads="1"/>
                          </pic:cNvPicPr>
                        </pic:nvPicPr>
                        <pic:blipFill>
                          <a:blip r:embed="rId18"/>
                          <a:srcRect/>
                          <a:stretch>
                            <a:fillRect/>
                          </a:stretch>
                        </pic:blipFill>
                        <pic:spPr bwMode="auto">
                          <a:xfrm>
                            <a:off x="0" y="0"/>
                            <a:ext cx="1435100" cy="292100"/>
                          </a:xfrm>
                          <a:prstGeom prst="rect">
                            <a:avLst/>
                          </a:prstGeom>
                          <a:noFill/>
                          <a:ln w="9525">
                            <a:noFill/>
                            <a:miter lim="800000"/>
                            <a:headEnd/>
                            <a:tailEnd/>
                          </a:ln>
                        </pic:spPr>
                      </pic:pic>
                    </a:graphicData>
                  </a:graphic>
                </wp:inline>
              </w:drawing>
            </w:r>
          </w:p>
        </w:tc>
      </w:tr>
      <w:tr w:rsidR="000A04EE">
        <w:trPr>
          <w:trHeight w:val="3510"/>
          <w:tblCellSpacing w:w="0" w:type="dxa"/>
          <w:jc w:val="center"/>
        </w:trPr>
        <w:tc>
          <w:tcPr>
            <w:tcW w:w="0" w:type="auto"/>
            <w:gridSpan w:val="2"/>
            <w:shd w:val="clear" w:color="auto" w:fill="auto"/>
          </w:tcPr>
          <w:p w:rsidR="000A04EE" w:rsidRDefault="000A04EE">
            <w:r>
              <w:pict>
                <v:rect id="_x0000_i1025" style="width:0;height:1.5pt" o:hralign="center" o:hrstd="t" o:hr="t" fillcolor="#aca899" stroked="f"/>
              </w:pict>
            </w:r>
          </w:p>
          <w:p w:rsidR="000A04EE" w:rsidRDefault="000A04EE">
            <w:pPr>
              <w:pStyle w:val="Title"/>
              <w:jc w:val="center"/>
            </w:pPr>
            <w:r>
              <w:rPr>
                <w:b/>
                <w:bCs/>
                <w:sz w:val="27"/>
                <w:szCs w:val="27"/>
                <w:u w:val="single"/>
              </w:rPr>
              <w:t>COMMON CHARACTERISTICS OF GRIEF</w:t>
            </w:r>
          </w:p>
          <w:p w:rsidR="000A04EE" w:rsidRDefault="000A04EE">
            <w:pPr>
              <w:pStyle w:val="Title"/>
            </w:pPr>
            <w:r>
              <w:t> </w:t>
            </w:r>
            <w:r>
              <w:rPr>
                <w:b/>
                <w:bCs/>
                <w:u w:val="single"/>
                <w:bdr w:val="none" w:sz="0" w:space="0" w:color="auto" w:frame="1"/>
              </w:rPr>
              <w:t>PHYSICAL SYMPTOMS</w:t>
            </w:r>
            <w:r>
              <w:rPr>
                <w:b/>
                <w:bCs/>
              </w:rPr>
              <w:t> </w:t>
            </w:r>
          </w:p>
          <w:p w:rsidR="000A04EE" w:rsidRDefault="000A04EE">
            <w:pPr>
              <w:pStyle w:val="Title"/>
              <w:numPr>
                <w:ilvl w:val="0"/>
                <w:numId w:val="1"/>
              </w:numPr>
              <w:spacing w:before="0" w:beforeAutospacing="0" w:after="0" w:afterAutospacing="0"/>
            </w:pPr>
            <w:r>
              <w:t>Clinging, whining, crying</w:t>
            </w:r>
          </w:p>
          <w:p w:rsidR="000A04EE" w:rsidRDefault="000A04EE">
            <w:pPr>
              <w:pStyle w:val="Title"/>
              <w:numPr>
                <w:ilvl w:val="0"/>
                <w:numId w:val="1"/>
              </w:numPr>
              <w:spacing w:before="0" w:beforeAutospacing="0" w:after="0" w:afterAutospacing="0"/>
            </w:pPr>
            <w:r>
              <w:t>Stomachaches</w:t>
            </w:r>
          </w:p>
          <w:p w:rsidR="000A04EE" w:rsidRDefault="000A04EE">
            <w:pPr>
              <w:numPr>
                <w:ilvl w:val="0"/>
                <w:numId w:val="1"/>
              </w:numPr>
            </w:pPr>
            <w:r>
              <w:t xml:space="preserve">Nausea </w:t>
            </w:r>
          </w:p>
          <w:p w:rsidR="000A04EE" w:rsidRDefault="000A04EE">
            <w:pPr>
              <w:numPr>
                <w:ilvl w:val="0"/>
                <w:numId w:val="1"/>
              </w:numPr>
            </w:pPr>
            <w:r>
              <w:t xml:space="preserve">Headaches </w:t>
            </w:r>
          </w:p>
          <w:p w:rsidR="000A04EE" w:rsidRDefault="000A04EE">
            <w:pPr>
              <w:numPr>
                <w:ilvl w:val="0"/>
                <w:numId w:val="1"/>
              </w:numPr>
            </w:pPr>
            <w:r>
              <w:t xml:space="preserve">Inability to eat </w:t>
            </w:r>
          </w:p>
          <w:p w:rsidR="000A04EE" w:rsidRDefault="000A04EE">
            <w:pPr>
              <w:numPr>
                <w:ilvl w:val="0"/>
                <w:numId w:val="1"/>
              </w:numPr>
            </w:pPr>
            <w:r>
              <w:t xml:space="preserve">Inability to sleep </w:t>
            </w:r>
          </w:p>
          <w:p w:rsidR="000A04EE" w:rsidRDefault="000A04EE">
            <w:pPr>
              <w:numPr>
                <w:ilvl w:val="0"/>
                <w:numId w:val="1"/>
              </w:numPr>
            </w:pPr>
            <w:r>
              <w:t xml:space="preserve">Nightmares </w:t>
            </w:r>
          </w:p>
          <w:p w:rsidR="000A04EE" w:rsidRDefault="000A04EE">
            <w:pPr>
              <w:numPr>
                <w:ilvl w:val="0"/>
                <w:numId w:val="1"/>
              </w:numPr>
            </w:pPr>
            <w:r>
              <w:t xml:space="preserve">Restlessness </w:t>
            </w:r>
          </w:p>
          <w:p w:rsidR="000A04EE" w:rsidRDefault="000A04EE">
            <w:pPr>
              <w:numPr>
                <w:ilvl w:val="0"/>
                <w:numId w:val="1"/>
              </w:numPr>
            </w:pPr>
            <w:r>
              <w:t xml:space="preserve">Fatigue </w:t>
            </w:r>
          </w:p>
          <w:p w:rsidR="000A04EE" w:rsidRDefault="000A04EE">
            <w:pPr>
              <w:numPr>
                <w:ilvl w:val="0"/>
                <w:numId w:val="1"/>
              </w:numPr>
            </w:pPr>
            <w:r>
              <w:t>Physical symptoms of the illness experienced by the loved one who has died.</w:t>
            </w:r>
            <w:r>
              <w:br/>
              <w:t xml:space="preserve">Example: Brain tumor→ migraine headaches </w:t>
            </w:r>
          </w:p>
          <w:p w:rsidR="000A04EE" w:rsidRDefault="000A04EE">
            <w:pPr>
              <w:pStyle w:val="Heading2"/>
            </w:pPr>
            <w:r>
              <w:rPr>
                <w:rFonts w:ascii="Times New Roman" w:hAnsi="Times New Roman" w:cs="Times New Roman"/>
                <w:u w:val="single"/>
                <w:bdr w:val="none" w:sz="0" w:space="0" w:color="auto" w:frame="1"/>
              </w:rPr>
              <w:t>COGNITIVE &amp; EMOTIONAL SYMPTOMS</w:t>
            </w:r>
          </w:p>
          <w:p w:rsidR="000A04EE" w:rsidRDefault="000A04EE">
            <w:pPr>
              <w:pStyle w:val="Heading2"/>
              <w:numPr>
                <w:ilvl w:val="0"/>
                <w:numId w:val="2"/>
              </w:numPr>
            </w:pPr>
            <w:r>
              <w:rPr>
                <w:rFonts w:ascii="Times New Roman" w:hAnsi="Times New Roman" w:cs="Times New Roman"/>
              </w:rPr>
              <w:t xml:space="preserve">Forgetfulness: </w:t>
            </w:r>
            <w:r>
              <w:rPr>
                <w:rFonts w:ascii="Times New Roman" w:hAnsi="Times New Roman" w:cs="Times New Roman"/>
                <w:b w:val="0"/>
                <w:bCs w:val="0"/>
              </w:rPr>
              <w:t>Children may forget school assignments, book reports, or backpacks at home.</w:t>
            </w:r>
            <w:r>
              <w:rPr>
                <w:rFonts w:ascii="Times New Roman" w:hAnsi="Times New Roman" w:cs="Times New Roman"/>
                <w:bdr w:val="none" w:sz="0" w:space="0" w:color="auto" w:frame="1"/>
              </w:rPr>
              <w:t xml:space="preserve"> </w:t>
            </w:r>
            <w:r>
              <w:rPr>
                <w:rFonts w:ascii="Times New Roman" w:hAnsi="Times New Roman" w:cs="Times New Roman"/>
                <w:u w:val="single"/>
              </w:rPr>
              <w:br/>
              <w:t>Help</w:t>
            </w:r>
            <w:r>
              <w:rPr>
                <w:rFonts w:ascii="Times New Roman" w:hAnsi="Times New Roman" w:cs="Times New Roman"/>
              </w:rPr>
              <w:t xml:space="preserve">: </w:t>
            </w:r>
            <w:r>
              <w:rPr>
                <w:rFonts w:ascii="Times New Roman" w:hAnsi="Times New Roman" w:cs="Times New Roman"/>
                <w:b w:val="0"/>
                <w:bCs w:val="0"/>
              </w:rPr>
              <w:t>Help the child establish routines or develop schedules. Remind</w:t>
            </w:r>
            <w:r>
              <w:rPr>
                <w:rFonts w:ascii="Times New Roman" w:hAnsi="Times New Roman" w:cs="Times New Roman"/>
              </w:rPr>
              <w:t xml:space="preserve"> </w:t>
            </w:r>
            <w:r>
              <w:rPr>
                <w:rFonts w:ascii="Times New Roman" w:hAnsi="Times New Roman" w:cs="Times New Roman"/>
                <w:b w:val="0"/>
                <w:bCs w:val="0"/>
              </w:rPr>
              <w:t>them to write down important things.</w:t>
            </w:r>
            <w:r>
              <w:rPr>
                <w:rFonts w:ascii="Times New Roman" w:hAnsi="Times New Roman" w:cs="Times New Roman"/>
                <w:b w:val="0"/>
                <w:bCs w:val="0"/>
              </w:rPr>
              <w:br/>
              <w:t> </w:t>
            </w:r>
          </w:p>
          <w:p w:rsidR="000A04EE" w:rsidRDefault="000A04EE">
            <w:pPr>
              <w:pStyle w:val="Heading2"/>
              <w:numPr>
                <w:ilvl w:val="0"/>
                <w:numId w:val="2"/>
              </w:numPr>
            </w:pPr>
            <w:r>
              <w:rPr>
                <w:rFonts w:ascii="Times New Roman" w:hAnsi="Times New Roman" w:cs="Times New Roman"/>
                <w:u w:val="single"/>
              </w:rPr>
              <w:t>Disorganization</w:t>
            </w:r>
            <w:r>
              <w:rPr>
                <w:rFonts w:ascii="Times New Roman" w:hAnsi="Times New Roman" w:cs="Times New Roman"/>
              </w:rPr>
              <w:t>:</w:t>
            </w:r>
            <w:r>
              <w:rPr>
                <w:rFonts w:ascii="Times New Roman" w:hAnsi="Times New Roman" w:cs="Times New Roman"/>
                <w:b w:val="0"/>
                <w:bCs w:val="0"/>
              </w:rPr>
              <w:t xml:space="preserve"> It may take a grieving child an hour to do what previously took 15 minutes.</w:t>
            </w:r>
            <w:r>
              <w:rPr>
                <w:rFonts w:ascii="Times New Roman" w:hAnsi="Times New Roman" w:cs="Times New Roman"/>
                <w:u w:val="single"/>
              </w:rPr>
              <w:br/>
              <w:t>Help</w:t>
            </w:r>
            <w:r>
              <w:rPr>
                <w:rFonts w:ascii="Times New Roman" w:hAnsi="Times New Roman" w:cs="Times New Roman"/>
              </w:rPr>
              <w:t xml:space="preserve">:  </w:t>
            </w:r>
            <w:r>
              <w:rPr>
                <w:rFonts w:ascii="Times New Roman" w:hAnsi="Times New Roman" w:cs="Times New Roman"/>
                <w:b w:val="0"/>
                <w:bCs w:val="0"/>
              </w:rPr>
              <w:t>Allow ample time to complete a task.</w:t>
            </w:r>
            <w:r>
              <w:rPr>
                <w:rFonts w:ascii="Times New Roman" w:hAnsi="Times New Roman" w:cs="Times New Roman"/>
                <w:b w:val="0"/>
                <w:bCs w:val="0"/>
              </w:rPr>
              <w:br/>
              <w:t> </w:t>
            </w:r>
          </w:p>
          <w:p w:rsidR="000A04EE" w:rsidRDefault="000A04EE">
            <w:pPr>
              <w:numPr>
                <w:ilvl w:val="0"/>
                <w:numId w:val="2"/>
              </w:numPr>
              <w:spacing w:before="100" w:beforeAutospacing="1" w:after="100" w:afterAutospacing="1"/>
            </w:pPr>
            <w:r>
              <w:rPr>
                <w:b/>
                <w:bCs/>
                <w:u w:val="single"/>
              </w:rPr>
              <w:t>Inability to concentrate</w:t>
            </w:r>
            <w:r>
              <w:rPr>
                <w:b/>
                <w:bCs/>
              </w:rPr>
              <w:t xml:space="preserve">: </w:t>
            </w:r>
            <w:r>
              <w:t> Do not be surprised to see children “daydreaming.” It may be hard for them to stay focused, and their grades may go down for a while.</w:t>
            </w:r>
            <w:r>
              <w:rPr>
                <w:color w:val="000000"/>
                <w:u w:val="single"/>
              </w:rPr>
              <w:t xml:space="preserve">  </w:t>
            </w:r>
            <w:r>
              <w:rPr>
                <w:color w:val="000000"/>
                <w:u w:val="single"/>
              </w:rPr>
              <w:br/>
            </w:r>
            <w:r>
              <w:rPr>
                <w:b/>
                <w:bCs/>
                <w:u w:val="single"/>
              </w:rPr>
              <w:t>Help</w:t>
            </w:r>
            <w:r>
              <w:rPr>
                <w:b/>
                <w:bCs/>
              </w:rPr>
              <w:t>:</w:t>
            </w:r>
            <w:r>
              <w:t>  Be patient and refocus the child – breaking information into smaller segments and again allowing ample time to complete a task.</w:t>
            </w:r>
            <w:r>
              <w:br/>
              <w:t xml:space="preserve">  </w:t>
            </w:r>
          </w:p>
          <w:p w:rsidR="000A04EE" w:rsidRDefault="000A04EE">
            <w:pPr>
              <w:numPr>
                <w:ilvl w:val="0"/>
                <w:numId w:val="2"/>
              </w:numPr>
              <w:spacing w:before="100" w:beforeAutospacing="1" w:after="100" w:afterAutospacing="1"/>
            </w:pPr>
            <w:r>
              <w:rPr>
                <w:b/>
                <w:bCs/>
                <w:u w:val="single"/>
              </w:rPr>
              <w:t>Inability to retain information</w:t>
            </w:r>
            <w:r>
              <w:rPr>
                <w:b/>
                <w:bCs/>
              </w:rPr>
              <w:t xml:space="preserve">: </w:t>
            </w:r>
            <w:r>
              <w:t xml:space="preserve"> Educators/parents can help children change their study habits by using some of the following study aids: </w:t>
            </w:r>
            <w:r>
              <w:rPr>
                <w:b/>
                <w:bCs/>
                <w:color w:val="000000"/>
                <w:u w:val="single"/>
              </w:rPr>
              <w:br/>
            </w:r>
            <w:r>
              <w:rPr>
                <w:b/>
                <w:bCs/>
                <w:u w:val="single"/>
              </w:rPr>
              <w:t>Help</w:t>
            </w:r>
            <w:r>
              <w:rPr>
                <w:b/>
                <w:bCs/>
              </w:rPr>
              <w:t>:</w:t>
            </w:r>
            <w:r>
              <w:t xml:space="preserve"> </w:t>
            </w:r>
          </w:p>
          <w:p w:rsidR="000A04EE" w:rsidRDefault="000A04EE">
            <w:pPr>
              <w:ind w:left="2160"/>
            </w:pPr>
            <w:r>
              <w:rPr>
                <w:rFonts w:ascii="Wingdings" w:hAnsi="Wingdings"/>
              </w:rPr>
              <w:t></w:t>
            </w:r>
            <w:r>
              <w:rPr>
                <w:sz w:val="14"/>
                <w:szCs w:val="14"/>
              </w:rPr>
              <w:t xml:space="preserve">      </w:t>
            </w:r>
            <w:r>
              <w:t>Outline reading material.</w:t>
            </w:r>
          </w:p>
          <w:p w:rsidR="000A04EE" w:rsidRDefault="000A04EE">
            <w:pPr>
              <w:ind w:left="2160" w:hanging="360"/>
            </w:pPr>
            <w:r>
              <w:rPr>
                <w:rFonts w:ascii="Wingdings" w:hAnsi="Wingdings"/>
              </w:rPr>
              <w:t></w:t>
            </w:r>
            <w:r>
              <w:rPr>
                <w:sz w:val="14"/>
                <w:szCs w:val="14"/>
              </w:rPr>
              <w:t xml:space="preserve">      </w:t>
            </w:r>
            <w:r>
              <w:t>Highlight important facts.</w:t>
            </w:r>
          </w:p>
          <w:p w:rsidR="000A04EE" w:rsidRDefault="000A04EE">
            <w:pPr>
              <w:ind w:left="2160" w:hanging="360"/>
            </w:pPr>
            <w:r>
              <w:rPr>
                <w:rFonts w:ascii="Wingdings" w:hAnsi="Wingdings"/>
              </w:rPr>
              <w:t></w:t>
            </w:r>
            <w:r>
              <w:rPr>
                <w:sz w:val="14"/>
                <w:szCs w:val="14"/>
              </w:rPr>
              <w:t xml:space="preserve">      </w:t>
            </w:r>
            <w:r>
              <w:t>Read “out loud” instead of to oneself.</w:t>
            </w:r>
          </w:p>
          <w:p w:rsidR="000A04EE" w:rsidRDefault="000A04EE">
            <w:pPr>
              <w:ind w:left="2160" w:hanging="360"/>
            </w:pPr>
            <w:r>
              <w:rPr>
                <w:rFonts w:ascii="Wingdings" w:hAnsi="Wingdings"/>
              </w:rPr>
              <w:lastRenderedPageBreak/>
              <w:t></w:t>
            </w:r>
            <w:r>
              <w:rPr>
                <w:sz w:val="14"/>
                <w:szCs w:val="14"/>
              </w:rPr>
              <w:t xml:space="preserve">      </w:t>
            </w:r>
            <w:r>
              <w:t>Complete homework in segments. Encourage children to work in 20-minute segments with 5-minute breaks.</w:t>
            </w:r>
          </w:p>
          <w:p w:rsidR="000A04EE" w:rsidRDefault="000A04EE">
            <w:pPr>
              <w:ind w:left="2160" w:hanging="360"/>
            </w:pPr>
            <w:r>
              <w:rPr>
                <w:rFonts w:ascii="Wingdings" w:hAnsi="Wingdings"/>
              </w:rPr>
              <w:t></w:t>
            </w:r>
            <w:r>
              <w:rPr>
                <w:sz w:val="14"/>
                <w:szCs w:val="14"/>
              </w:rPr>
              <w:t xml:space="preserve">      </w:t>
            </w:r>
            <w:r>
              <w:t>Have a “weekend party” with friends to help the grieving child  catch up with piled up homework due to missed school days.</w:t>
            </w:r>
            <w:r>
              <w:br/>
              <w:t xml:space="preserve">  </w:t>
            </w:r>
          </w:p>
          <w:p w:rsidR="000A04EE" w:rsidRDefault="000A04EE">
            <w:pPr>
              <w:numPr>
                <w:ilvl w:val="0"/>
                <w:numId w:val="2"/>
              </w:numPr>
              <w:spacing w:before="100" w:beforeAutospacing="1" w:after="100" w:afterAutospacing="1"/>
            </w:pPr>
            <w:r>
              <w:rPr>
                <w:b/>
                <w:bCs/>
                <w:u w:val="single"/>
              </w:rPr>
              <w:t>Preoccupation with the event</w:t>
            </w:r>
            <w:r>
              <w:rPr>
                <w:b/>
                <w:bCs/>
              </w:rPr>
              <w:t xml:space="preserve">: </w:t>
            </w:r>
            <w:r>
              <w:t xml:space="preserve"> Children may appear to be "daydreaming" because their minds will wander back to what has happened.  Even if they are doing something they enjoy, like watching a football game or a soap opera, they will find their mind going back to the painful event.  </w:t>
            </w:r>
            <w:r>
              <w:rPr>
                <w:b/>
                <w:bCs/>
                <w:color w:val="000000"/>
                <w:u w:val="single"/>
              </w:rPr>
              <w:br/>
            </w:r>
            <w:r>
              <w:rPr>
                <w:b/>
                <w:bCs/>
                <w:u w:val="single"/>
              </w:rPr>
              <w:t>Help</w:t>
            </w:r>
            <w:r>
              <w:rPr>
                <w:b/>
                <w:bCs/>
              </w:rPr>
              <w:t>:</w:t>
            </w:r>
            <w:r>
              <w:rPr>
                <w:color w:val="000000"/>
              </w:rPr>
              <w:t xml:space="preserve">  </w:t>
            </w:r>
            <w:r>
              <w:t xml:space="preserve">Sometimes working in small increments of time will help them to stay focused and on task. </w:t>
            </w:r>
          </w:p>
          <w:p w:rsidR="000A04EE" w:rsidRDefault="000A04EE">
            <w:pPr>
              <w:numPr>
                <w:ilvl w:val="0"/>
                <w:numId w:val="2"/>
              </w:numPr>
              <w:spacing w:before="100" w:beforeAutospacing="1" w:after="100" w:afterAutospacing="1"/>
            </w:pPr>
            <w:r>
              <w:rPr>
                <w:b/>
                <w:bCs/>
                <w:u w:val="single"/>
              </w:rPr>
              <w:t>Lack of interest or motivation</w:t>
            </w:r>
            <w:r>
              <w:rPr>
                <w:b/>
                <w:bCs/>
              </w:rPr>
              <w:t xml:space="preserve">: </w:t>
            </w:r>
            <w:r>
              <w:t> Even if children are doing something they love, they may be thinking about what has happened to them. Caution grieving children to be careful to avoid a “why bother” attitude.</w:t>
            </w:r>
            <w:r>
              <w:rPr>
                <w:b/>
                <w:bCs/>
                <w:color w:val="000000"/>
                <w:u w:val="single"/>
              </w:rPr>
              <w:br/>
            </w:r>
            <w:r>
              <w:rPr>
                <w:b/>
                <w:bCs/>
                <w:u w:val="single"/>
              </w:rPr>
              <w:t>Help</w:t>
            </w:r>
            <w:r>
              <w:rPr>
                <w:b/>
                <w:bCs/>
              </w:rPr>
              <w:t>:</w:t>
            </w:r>
            <w:r>
              <w:t xml:space="preserve">  Encourage children to use their experience to reach out to help others in need. </w:t>
            </w:r>
          </w:p>
          <w:p w:rsidR="000A04EE" w:rsidRDefault="000A04EE">
            <w:pPr>
              <w:numPr>
                <w:ilvl w:val="0"/>
                <w:numId w:val="2"/>
              </w:numPr>
              <w:spacing w:before="100" w:beforeAutospacing="1" w:after="100" w:afterAutospacing="1"/>
            </w:pPr>
            <w:r>
              <w:rPr>
                <w:b/>
                <w:bCs/>
                <w:u w:val="single"/>
              </w:rPr>
              <w:t>Lowered tolerance level and increased impatience</w:t>
            </w:r>
            <w:r>
              <w:rPr>
                <w:b/>
                <w:bCs/>
              </w:rPr>
              <w:t xml:space="preserve">:  </w:t>
            </w:r>
            <w:r>
              <w:t>Grieving children may be impatient – especially if someone complains of something they think is trivial, i.e. a “bad hair day.”</w:t>
            </w:r>
            <w:r>
              <w:br/>
            </w:r>
            <w:r>
              <w:rPr>
                <w:b/>
                <w:bCs/>
                <w:u w:val="single"/>
              </w:rPr>
              <w:t>Help</w:t>
            </w:r>
            <w:r>
              <w:rPr>
                <w:b/>
                <w:bCs/>
              </w:rPr>
              <w:t xml:space="preserve">:  </w:t>
            </w:r>
          </w:p>
          <w:p w:rsidR="000A04EE" w:rsidRDefault="000A04EE">
            <w:pPr>
              <w:ind w:left="2160"/>
            </w:pPr>
            <w:r>
              <w:rPr>
                <w:rFonts w:ascii="Wingdings" w:hAnsi="Wingdings"/>
              </w:rPr>
              <w:t></w:t>
            </w:r>
            <w:r>
              <w:rPr>
                <w:sz w:val="14"/>
                <w:szCs w:val="14"/>
              </w:rPr>
              <w:t xml:space="preserve">      </w:t>
            </w:r>
            <w:r>
              <w:t>Make other children more aware of what they say and how they say things around the grieving child – especially around holidays, birthdays, and anniversaries.</w:t>
            </w:r>
          </w:p>
          <w:p w:rsidR="000A04EE" w:rsidRDefault="000A04EE">
            <w:pPr>
              <w:ind w:left="2160" w:hanging="360"/>
            </w:pPr>
            <w:r>
              <w:rPr>
                <w:rFonts w:ascii="Wingdings" w:hAnsi="Wingdings"/>
              </w:rPr>
              <w:t></w:t>
            </w:r>
            <w:r>
              <w:rPr>
                <w:sz w:val="14"/>
                <w:szCs w:val="14"/>
              </w:rPr>
              <w:t xml:space="preserve">      </w:t>
            </w:r>
            <w:r>
              <w:t xml:space="preserve">Remind the grieving child not to take grief out on other people. </w:t>
            </w:r>
          </w:p>
          <w:p w:rsidR="000A04EE" w:rsidRDefault="000A04EE">
            <w:pPr>
              <w:pStyle w:val="NormalWeb"/>
            </w:pPr>
            <w:r>
              <w:rPr>
                <w:b/>
                <w:bCs/>
                <w:u w:val="single"/>
              </w:rPr>
              <w:t>SYMPTOMS OF SEVERE GRIE</w:t>
            </w:r>
            <w:r>
              <w:rPr>
                <w:b/>
                <w:bCs/>
                <w:u w:val="single"/>
                <w:bdr w:val="none" w:sz="0" w:space="0" w:color="auto" w:frame="1"/>
              </w:rPr>
              <w:t>F</w:t>
            </w:r>
          </w:p>
          <w:p w:rsidR="000A04EE" w:rsidRDefault="000A04EE">
            <w:pPr>
              <w:pStyle w:val="NormalWeb"/>
            </w:pPr>
            <w:r>
              <w:rPr>
                <w:u w:val="single"/>
                <w:bdr w:val="none" w:sz="0" w:space="0" w:color="auto" w:frame="1"/>
              </w:rPr>
              <w:t>Post Traumatic Stress Disorder</w:t>
            </w:r>
          </w:p>
          <w:p w:rsidR="000A04EE" w:rsidRDefault="000A04EE">
            <w:pPr>
              <w:spacing w:before="100" w:beforeAutospacing="1" w:after="100" w:afterAutospacing="1"/>
            </w:pPr>
            <w:r>
              <w:rPr>
                <w:i/>
                <w:iCs/>
              </w:rPr>
              <w:t>Post Traumatic Stress Disorder (PTSD)</w:t>
            </w:r>
            <w:r>
              <w:t xml:space="preserve"> is an emotional and psychological reaction to trauma caused by a painful and shocking experience. The stress resulting from this sudden shock may show up days, weeks, or even months later. In the days and weeks ahead, parents need to look for:</w:t>
            </w:r>
          </w:p>
          <w:p w:rsidR="000A04EE" w:rsidRDefault="000A04EE">
            <w:pPr>
              <w:numPr>
                <w:ilvl w:val="0"/>
                <w:numId w:val="3"/>
              </w:numPr>
              <w:spacing w:before="100" w:beforeAutospacing="1" w:after="100" w:afterAutospacing="1"/>
            </w:pPr>
            <w:r>
              <w:t>Recurring recollections of the event that interfere with school and home life</w:t>
            </w:r>
          </w:p>
          <w:p w:rsidR="000A04EE" w:rsidRDefault="000A04EE">
            <w:pPr>
              <w:numPr>
                <w:ilvl w:val="0"/>
                <w:numId w:val="3"/>
              </w:numPr>
              <w:spacing w:before="100" w:beforeAutospacing="1" w:after="100" w:afterAutospacing="1"/>
            </w:pPr>
            <w:r>
              <w:t>Recurring nightmares</w:t>
            </w:r>
          </w:p>
          <w:p w:rsidR="000A04EE" w:rsidRDefault="000A04EE">
            <w:pPr>
              <w:numPr>
                <w:ilvl w:val="0"/>
                <w:numId w:val="3"/>
              </w:numPr>
              <w:spacing w:before="100" w:beforeAutospacing="1" w:after="100" w:afterAutospacing="1"/>
            </w:pPr>
            <w:r>
              <w:t>New problems not previously experienced in falling/staying asleep or sleeping too much</w:t>
            </w:r>
          </w:p>
          <w:p w:rsidR="000A04EE" w:rsidRDefault="000A04EE">
            <w:pPr>
              <w:numPr>
                <w:ilvl w:val="0"/>
                <w:numId w:val="3"/>
              </w:numPr>
              <w:spacing w:before="100" w:beforeAutospacing="1" w:after="100" w:afterAutospacing="1"/>
            </w:pPr>
            <w:r>
              <w:t>Intense anxiety</w:t>
            </w:r>
          </w:p>
          <w:p w:rsidR="000A04EE" w:rsidRDefault="000A04EE">
            <w:pPr>
              <w:numPr>
                <w:ilvl w:val="0"/>
                <w:numId w:val="3"/>
              </w:numPr>
              <w:spacing w:before="100" w:beforeAutospacing="1" w:after="100" w:afterAutospacing="1"/>
            </w:pPr>
            <w:r>
              <w:t>Avoidance of feelings</w:t>
            </w:r>
          </w:p>
          <w:p w:rsidR="000A04EE" w:rsidRDefault="000A04EE">
            <w:pPr>
              <w:numPr>
                <w:ilvl w:val="0"/>
                <w:numId w:val="3"/>
              </w:numPr>
              <w:spacing w:before="100" w:beforeAutospacing="1" w:after="100" w:afterAutospacing="1"/>
            </w:pPr>
            <w:r>
              <w:t xml:space="preserve">Preoccupation with event </w:t>
            </w:r>
          </w:p>
          <w:p w:rsidR="000A04EE" w:rsidRDefault="000A04EE">
            <w:pPr>
              <w:numPr>
                <w:ilvl w:val="0"/>
                <w:numId w:val="3"/>
              </w:numPr>
              <w:spacing w:before="100" w:beforeAutospacing="1" w:after="100" w:afterAutospacing="1"/>
            </w:pPr>
            <w:r>
              <w:t>Outbursts of irritability and anger at home and school</w:t>
            </w:r>
          </w:p>
          <w:p w:rsidR="000A04EE" w:rsidRDefault="000A04EE">
            <w:pPr>
              <w:numPr>
                <w:ilvl w:val="0"/>
                <w:numId w:val="3"/>
              </w:numPr>
              <w:spacing w:before="100" w:beforeAutospacing="1" w:after="100" w:afterAutospacing="1"/>
            </w:pPr>
            <w:r>
              <w:t>Being overwhelmed with emotions – feeling out of control</w:t>
            </w:r>
          </w:p>
          <w:p w:rsidR="000A04EE" w:rsidRDefault="000A04EE">
            <w:pPr>
              <w:numPr>
                <w:ilvl w:val="0"/>
                <w:numId w:val="3"/>
              </w:numPr>
              <w:spacing w:before="100" w:beforeAutospacing="1" w:after="100" w:afterAutospacing="1"/>
            </w:pPr>
            <w:r>
              <w:t>Difficulty concentrating on things usually enjoyed</w:t>
            </w:r>
          </w:p>
          <w:p w:rsidR="000A04EE" w:rsidRDefault="000A04EE">
            <w:pPr>
              <w:numPr>
                <w:ilvl w:val="0"/>
                <w:numId w:val="3"/>
              </w:numPr>
              <w:spacing w:before="100" w:beforeAutospacing="1" w:after="100" w:afterAutospacing="1"/>
            </w:pPr>
            <w:r>
              <w:t xml:space="preserve">Significant decrease in normal activities at home and school </w:t>
            </w:r>
          </w:p>
          <w:p w:rsidR="000A04EE" w:rsidRDefault="000A04EE">
            <w:pPr>
              <w:numPr>
                <w:ilvl w:val="0"/>
                <w:numId w:val="3"/>
              </w:numPr>
              <w:spacing w:before="100" w:beforeAutospacing="1" w:after="100" w:afterAutospacing="1"/>
            </w:pPr>
            <w:r>
              <w:lastRenderedPageBreak/>
              <w:t>Detachment and withdrawal from friends</w:t>
            </w:r>
          </w:p>
          <w:p w:rsidR="000A04EE" w:rsidRDefault="000A04EE">
            <w:pPr>
              <w:numPr>
                <w:ilvl w:val="0"/>
                <w:numId w:val="3"/>
              </w:numPr>
              <w:spacing w:before="100" w:beforeAutospacing="1" w:after="100" w:afterAutospacing="1"/>
            </w:pPr>
            <w:r>
              <w:t>Depression</w:t>
            </w:r>
          </w:p>
          <w:p w:rsidR="000A04EE" w:rsidRDefault="000A04EE">
            <w:pPr>
              <w:pStyle w:val="NormalWeb"/>
            </w:pPr>
            <w:r>
              <w:t> </w:t>
            </w:r>
          </w:p>
          <w:p w:rsidR="000A04EE" w:rsidRDefault="000A04EE">
            <w:pPr>
              <w:spacing w:before="100" w:beforeAutospacing="1" w:after="100" w:afterAutospacing="1"/>
              <w:ind w:left="720"/>
            </w:pPr>
            <w:r>
              <w:rPr>
                <w:sz w:val="20"/>
                <w:szCs w:val="20"/>
              </w:rPr>
              <w:t xml:space="preserve">Compiled by Marcia Maish, former AHF Grief at School Program Coordinator, from material in </w:t>
            </w:r>
            <w:r>
              <w:rPr>
                <w:i/>
                <w:iCs/>
                <w:sz w:val="20"/>
                <w:szCs w:val="20"/>
              </w:rPr>
              <w:t>Grief at School Training Guide</w:t>
            </w:r>
            <w:r>
              <w:rPr>
                <w:sz w:val="20"/>
                <w:szCs w:val="20"/>
              </w:rPr>
              <w:t>, written by Helen Fitzgerald, Training Director, American Hospice Foundation (AHF).</w:t>
            </w:r>
          </w:p>
          <w:p w:rsidR="000A04EE" w:rsidRDefault="000A04EE">
            <w:pPr>
              <w:pStyle w:val="NormalWeb"/>
            </w:pPr>
            <w:r>
              <w:br/>
              <w:t> </w:t>
            </w:r>
          </w:p>
          <w:p w:rsidR="000A04EE" w:rsidRDefault="000A04EE">
            <w:r>
              <w:pict>
                <v:rect id="_x0000_i1026" style="width:0;height:1.5pt" o:hralign="center" o:hrstd="t" o:hr="t" fillcolor="#aca899" stroked="f"/>
              </w:pict>
            </w:r>
          </w:p>
          <w:p w:rsidR="000A04EE" w:rsidRDefault="00E31C11">
            <w:pPr>
              <w:jc w:val="center"/>
              <w:rPr>
                <w:color w:val="600060"/>
              </w:rPr>
            </w:pPr>
            <w:r>
              <w:rPr>
                <w:noProof/>
                <w:color w:val="FF3366"/>
              </w:rPr>
              <w:drawing>
                <wp:inline distT="0" distB="0" distL="0" distR="0">
                  <wp:extent cx="1435100" cy="292100"/>
                  <wp:effectExtent l="19050" t="0" r="0" b="0"/>
                  <wp:docPr id="10" name="imgLower1" descr="Main Pag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Lower1" descr="Main Page">
                            <a:hlinkClick r:id="rId7"/>
                          </pic:cNvPr>
                          <pic:cNvPicPr>
                            <a:picLocks noChangeAspect="1" noChangeArrowheads="1"/>
                          </pic:cNvPicPr>
                        </pic:nvPicPr>
                        <pic:blipFill>
                          <a:blip r:embed="rId8"/>
                          <a:srcRect/>
                          <a:stretch>
                            <a:fillRect/>
                          </a:stretch>
                        </pic:blipFill>
                        <pic:spPr bwMode="auto">
                          <a:xfrm>
                            <a:off x="0" y="0"/>
                            <a:ext cx="1435100" cy="292100"/>
                          </a:xfrm>
                          <a:prstGeom prst="rect">
                            <a:avLst/>
                          </a:prstGeom>
                          <a:noFill/>
                          <a:ln w="9525">
                            <a:noFill/>
                            <a:miter lim="800000"/>
                            <a:headEnd/>
                            <a:tailEnd/>
                          </a:ln>
                        </pic:spPr>
                      </pic:pic>
                    </a:graphicData>
                  </a:graphic>
                </wp:inline>
              </w:drawing>
            </w:r>
            <w:r>
              <w:rPr>
                <w:noProof/>
                <w:color w:val="FF3366"/>
              </w:rPr>
              <w:drawing>
                <wp:inline distT="0" distB="0" distL="0" distR="0">
                  <wp:extent cx="1435100" cy="292100"/>
                  <wp:effectExtent l="19050" t="0" r="0" b="0"/>
                  <wp:docPr id="11" name="imgLower2" descr="Articles">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Lower2" descr="Articles">
                            <a:hlinkClick r:id="rId9"/>
                          </pic:cNvPr>
                          <pic:cNvPicPr>
                            <a:picLocks noChangeAspect="1" noChangeArrowheads="1"/>
                          </pic:cNvPicPr>
                        </pic:nvPicPr>
                        <pic:blipFill>
                          <a:blip r:embed="rId10"/>
                          <a:srcRect/>
                          <a:stretch>
                            <a:fillRect/>
                          </a:stretch>
                        </pic:blipFill>
                        <pic:spPr bwMode="auto">
                          <a:xfrm>
                            <a:off x="0" y="0"/>
                            <a:ext cx="1435100" cy="292100"/>
                          </a:xfrm>
                          <a:prstGeom prst="rect">
                            <a:avLst/>
                          </a:prstGeom>
                          <a:noFill/>
                          <a:ln w="9525">
                            <a:noFill/>
                            <a:miter lim="800000"/>
                            <a:headEnd/>
                            <a:tailEnd/>
                          </a:ln>
                        </pic:spPr>
                      </pic:pic>
                    </a:graphicData>
                  </a:graphic>
                </wp:inline>
              </w:drawing>
            </w:r>
            <w:r>
              <w:rPr>
                <w:noProof/>
                <w:color w:val="FF3366"/>
              </w:rPr>
              <w:drawing>
                <wp:inline distT="0" distB="0" distL="0" distR="0">
                  <wp:extent cx="1435100" cy="292100"/>
                  <wp:effectExtent l="19050" t="0" r="0" b="0"/>
                  <wp:docPr id="12" name="imgLower5" descr="Resources/Tools">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Lower5" descr="Resources/Tools">
                            <a:hlinkClick r:id="rId11"/>
                          </pic:cNvPr>
                          <pic:cNvPicPr>
                            <a:picLocks noChangeAspect="1" noChangeArrowheads="1"/>
                          </pic:cNvPicPr>
                        </pic:nvPicPr>
                        <pic:blipFill>
                          <a:blip r:embed="rId12"/>
                          <a:srcRect/>
                          <a:stretch>
                            <a:fillRect/>
                          </a:stretch>
                        </pic:blipFill>
                        <pic:spPr bwMode="auto">
                          <a:xfrm>
                            <a:off x="0" y="0"/>
                            <a:ext cx="1435100" cy="292100"/>
                          </a:xfrm>
                          <a:prstGeom prst="rect">
                            <a:avLst/>
                          </a:prstGeom>
                          <a:noFill/>
                          <a:ln w="9525">
                            <a:noFill/>
                            <a:miter lim="800000"/>
                            <a:headEnd/>
                            <a:tailEnd/>
                          </a:ln>
                        </pic:spPr>
                      </pic:pic>
                    </a:graphicData>
                  </a:graphic>
                </wp:inline>
              </w:drawing>
            </w:r>
            <w:r>
              <w:rPr>
                <w:noProof/>
                <w:color w:val="FF3366"/>
              </w:rPr>
              <w:drawing>
                <wp:inline distT="0" distB="0" distL="0" distR="0">
                  <wp:extent cx="1435100" cy="292100"/>
                  <wp:effectExtent l="19050" t="0" r="0" b="0"/>
                  <wp:docPr id="13" name="imgLower4" descr="Fact Sheets">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Lower4" descr="Fact Sheets">
                            <a:hlinkClick r:id="rId13"/>
                          </pic:cNvPr>
                          <pic:cNvPicPr>
                            <a:picLocks noChangeAspect="1" noChangeArrowheads="1"/>
                          </pic:cNvPicPr>
                        </pic:nvPicPr>
                        <pic:blipFill>
                          <a:blip r:embed="rId14"/>
                          <a:srcRect/>
                          <a:stretch>
                            <a:fillRect/>
                          </a:stretch>
                        </pic:blipFill>
                        <pic:spPr bwMode="auto">
                          <a:xfrm>
                            <a:off x="0" y="0"/>
                            <a:ext cx="1435100" cy="292100"/>
                          </a:xfrm>
                          <a:prstGeom prst="rect">
                            <a:avLst/>
                          </a:prstGeom>
                          <a:noFill/>
                          <a:ln w="9525">
                            <a:noFill/>
                            <a:miter lim="800000"/>
                            <a:headEnd/>
                            <a:tailEnd/>
                          </a:ln>
                        </pic:spPr>
                      </pic:pic>
                    </a:graphicData>
                  </a:graphic>
                </wp:inline>
              </w:drawing>
            </w:r>
            <w:r>
              <w:rPr>
                <w:noProof/>
                <w:color w:val="FF3366"/>
              </w:rPr>
              <w:drawing>
                <wp:inline distT="0" distB="0" distL="0" distR="0">
                  <wp:extent cx="952500" cy="190500"/>
                  <wp:effectExtent l="19050" t="0" r="0" b="0"/>
                  <wp:docPr id="14" name="imgLower6" descr="Book Reviews">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Lower6" descr="Book Reviews">
                            <a:hlinkClick r:id="rId15"/>
                          </pic:cNvPr>
                          <pic:cNvPicPr>
                            <a:picLocks noChangeAspect="1" noChangeArrowheads="1"/>
                          </pic:cNvPicPr>
                        </pic:nvPicPr>
                        <pic:blipFill>
                          <a:blip r:embed="rId16"/>
                          <a:srcRect/>
                          <a:stretch>
                            <a:fillRect/>
                          </a:stretch>
                        </pic:blipFill>
                        <pic:spPr bwMode="auto">
                          <a:xfrm>
                            <a:off x="0" y="0"/>
                            <a:ext cx="952500" cy="190500"/>
                          </a:xfrm>
                          <a:prstGeom prst="rect">
                            <a:avLst/>
                          </a:prstGeom>
                          <a:noFill/>
                          <a:ln w="9525">
                            <a:noFill/>
                            <a:miter lim="800000"/>
                            <a:headEnd/>
                            <a:tailEnd/>
                          </a:ln>
                        </pic:spPr>
                      </pic:pic>
                    </a:graphicData>
                  </a:graphic>
                </wp:inline>
              </w:drawing>
            </w:r>
            <w:r>
              <w:rPr>
                <w:noProof/>
                <w:color w:val="FF3366"/>
              </w:rPr>
              <w:drawing>
                <wp:inline distT="0" distB="0" distL="0" distR="0">
                  <wp:extent cx="952500" cy="190500"/>
                  <wp:effectExtent l="19050" t="0" r="0" b="0"/>
                  <wp:docPr id="15" name="imgLower7" descr="Helpful Products">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Lower7" descr="Helpful Products">
                            <a:hlinkClick r:id="rId17"/>
                          </pic:cNvPr>
                          <pic:cNvPicPr>
                            <a:picLocks noChangeAspect="1" noChangeArrowheads="1"/>
                          </pic:cNvPicPr>
                        </pic:nvPicPr>
                        <pic:blipFill>
                          <a:blip r:embed="rId18"/>
                          <a:srcRect/>
                          <a:stretch>
                            <a:fillRect/>
                          </a:stretch>
                        </pic:blipFill>
                        <pic:spPr bwMode="auto">
                          <a:xfrm>
                            <a:off x="0" y="0"/>
                            <a:ext cx="952500" cy="190500"/>
                          </a:xfrm>
                          <a:prstGeom prst="rect">
                            <a:avLst/>
                          </a:prstGeom>
                          <a:noFill/>
                          <a:ln w="9525">
                            <a:noFill/>
                            <a:miter lim="800000"/>
                            <a:headEnd/>
                            <a:tailEnd/>
                          </a:ln>
                        </pic:spPr>
                      </pic:pic>
                    </a:graphicData>
                  </a:graphic>
                </wp:inline>
              </w:drawing>
            </w:r>
          </w:p>
        </w:tc>
      </w:tr>
      <w:tr w:rsidR="000A04EE">
        <w:trPr>
          <w:trHeight w:val="225"/>
          <w:tblCellSpacing w:w="0" w:type="dxa"/>
          <w:jc w:val="center"/>
        </w:trPr>
        <w:tc>
          <w:tcPr>
            <w:tcW w:w="0" w:type="auto"/>
            <w:gridSpan w:val="2"/>
            <w:shd w:val="clear" w:color="auto" w:fill="auto"/>
          </w:tcPr>
          <w:tbl>
            <w:tblPr>
              <w:tblW w:w="5000" w:type="pct"/>
              <w:tblCellSpacing w:w="7" w:type="dxa"/>
              <w:tblCellMar>
                <w:top w:w="15" w:type="dxa"/>
                <w:left w:w="15" w:type="dxa"/>
                <w:bottom w:w="15" w:type="dxa"/>
                <w:right w:w="15" w:type="dxa"/>
              </w:tblCellMar>
              <w:tblLook w:val="0000"/>
            </w:tblPr>
            <w:tblGrid>
              <w:gridCol w:w="651"/>
              <w:gridCol w:w="561"/>
              <w:gridCol w:w="761"/>
              <w:gridCol w:w="1312"/>
              <w:gridCol w:w="832"/>
              <w:gridCol w:w="1511"/>
              <w:gridCol w:w="1206"/>
              <w:gridCol w:w="1054"/>
              <w:gridCol w:w="1037"/>
            </w:tblGrid>
            <w:tr w:rsidR="000A04EE">
              <w:trPr>
                <w:tblCellSpacing w:w="7" w:type="dxa"/>
              </w:trPr>
              <w:tc>
                <w:tcPr>
                  <w:tcW w:w="0" w:type="auto"/>
                  <w:shd w:val="clear" w:color="auto" w:fill="FF0085"/>
                  <w:vAlign w:val="center"/>
                </w:tcPr>
                <w:p w:rsidR="000A04EE" w:rsidRDefault="000A04EE">
                  <w:pPr>
                    <w:jc w:val="center"/>
                    <w:rPr>
                      <w:b/>
                      <w:bCs/>
                      <w:color w:val="600060"/>
                    </w:rPr>
                  </w:pPr>
                  <w:hyperlink r:id="rId19" w:history="1">
                    <w:r>
                      <w:rPr>
                        <w:rStyle w:val="Hyperlink"/>
                        <w:rFonts w:ascii="Arial" w:hAnsi="Arial" w:cs="Arial"/>
                        <w:b/>
                        <w:bCs/>
                        <w:color w:val="FFFFFF"/>
                        <w:sz w:val="15"/>
                        <w:szCs w:val="15"/>
                        <w:u w:val="none"/>
                      </w:rPr>
                      <w:t>Home</w:t>
                    </w:r>
                  </w:hyperlink>
                </w:p>
              </w:tc>
              <w:tc>
                <w:tcPr>
                  <w:tcW w:w="0" w:type="auto"/>
                  <w:shd w:val="clear" w:color="auto" w:fill="FF0085"/>
                  <w:vAlign w:val="center"/>
                </w:tcPr>
                <w:p w:rsidR="000A04EE" w:rsidRDefault="000A04EE">
                  <w:pPr>
                    <w:jc w:val="center"/>
                    <w:rPr>
                      <w:b/>
                      <w:bCs/>
                      <w:color w:val="600060"/>
                    </w:rPr>
                  </w:pPr>
                  <w:hyperlink r:id="rId20" w:history="1">
                    <w:r>
                      <w:rPr>
                        <w:rStyle w:val="Hyperlink"/>
                        <w:rFonts w:ascii="Arial" w:hAnsi="Arial" w:cs="Arial"/>
                        <w:b/>
                        <w:bCs/>
                        <w:color w:val="FFFFFF"/>
                        <w:sz w:val="15"/>
                        <w:szCs w:val="15"/>
                        <w:u w:val="none"/>
                      </w:rPr>
                      <w:t>Back</w:t>
                    </w:r>
                  </w:hyperlink>
                </w:p>
              </w:tc>
              <w:tc>
                <w:tcPr>
                  <w:tcW w:w="0" w:type="auto"/>
                  <w:shd w:val="clear" w:color="auto" w:fill="FF0085"/>
                  <w:vAlign w:val="center"/>
                </w:tcPr>
                <w:p w:rsidR="000A04EE" w:rsidRDefault="000A04EE">
                  <w:pPr>
                    <w:jc w:val="center"/>
                    <w:rPr>
                      <w:b/>
                      <w:bCs/>
                      <w:color w:val="600060"/>
                    </w:rPr>
                  </w:pPr>
                  <w:hyperlink r:id="rId21" w:history="1">
                    <w:r>
                      <w:rPr>
                        <w:rStyle w:val="Hyperlink"/>
                        <w:rFonts w:ascii="Arial" w:hAnsi="Arial" w:cs="Arial"/>
                        <w:b/>
                        <w:bCs/>
                        <w:color w:val="FFFFFF"/>
                        <w:sz w:val="15"/>
                        <w:szCs w:val="15"/>
                        <w:u w:val="none"/>
                      </w:rPr>
                      <w:t xml:space="preserve">Search </w:t>
                    </w:r>
                  </w:hyperlink>
                </w:p>
              </w:tc>
              <w:tc>
                <w:tcPr>
                  <w:tcW w:w="0" w:type="auto"/>
                  <w:shd w:val="clear" w:color="auto" w:fill="FF0085"/>
                  <w:vAlign w:val="center"/>
                </w:tcPr>
                <w:p w:rsidR="000A04EE" w:rsidRDefault="000A04EE">
                  <w:pPr>
                    <w:jc w:val="center"/>
                    <w:rPr>
                      <w:b/>
                      <w:bCs/>
                      <w:color w:val="600060"/>
                    </w:rPr>
                  </w:pPr>
                  <w:hyperlink r:id="rId22" w:history="1">
                    <w:r>
                      <w:rPr>
                        <w:rStyle w:val="Hyperlink"/>
                        <w:rFonts w:ascii="Arial" w:hAnsi="Arial" w:cs="Arial"/>
                        <w:b/>
                        <w:bCs/>
                        <w:color w:val="FFFFFF"/>
                        <w:sz w:val="15"/>
                        <w:szCs w:val="15"/>
                        <w:u w:val="none"/>
                      </w:rPr>
                      <w:t>Publications</w:t>
                    </w:r>
                  </w:hyperlink>
                </w:p>
              </w:tc>
              <w:tc>
                <w:tcPr>
                  <w:tcW w:w="0" w:type="auto"/>
                  <w:shd w:val="clear" w:color="auto" w:fill="FF0085"/>
                  <w:vAlign w:val="center"/>
                </w:tcPr>
                <w:p w:rsidR="000A04EE" w:rsidRDefault="000A04EE">
                  <w:pPr>
                    <w:jc w:val="center"/>
                    <w:rPr>
                      <w:b/>
                      <w:bCs/>
                      <w:color w:val="600060"/>
                    </w:rPr>
                  </w:pPr>
                  <w:hyperlink r:id="rId23" w:history="1">
                    <w:r>
                      <w:rPr>
                        <w:rStyle w:val="Hyperlink"/>
                        <w:rFonts w:ascii="Arial" w:hAnsi="Arial" w:cs="Arial"/>
                        <w:b/>
                        <w:bCs/>
                        <w:color w:val="FFFFFF"/>
                        <w:sz w:val="15"/>
                        <w:szCs w:val="15"/>
                        <w:u w:val="none"/>
                      </w:rPr>
                      <w:t>Articles</w:t>
                    </w:r>
                  </w:hyperlink>
                </w:p>
              </w:tc>
              <w:tc>
                <w:tcPr>
                  <w:tcW w:w="0" w:type="auto"/>
                  <w:shd w:val="clear" w:color="auto" w:fill="FF0085"/>
                  <w:vAlign w:val="center"/>
                </w:tcPr>
                <w:p w:rsidR="000A04EE" w:rsidRDefault="000A04EE">
                  <w:pPr>
                    <w:jc w:val="center"/>
                    <w:rPr>
                      <w:b/>
                      <w:bCs/>
                      <w:color w:val="600060"/>
                    </w:rPr>
                  </w:pPr>
                  <w:hyperlink r:id="rId24" w:history="1">
                    <w:r>
                      <w:rPr>
                        <w:rStyle w:val="Hyperlink"/>
                        <w:rFonts w:ascii="Arial" w:hAnsi="Arial" w:cs="Arial"/>
                        <w:b/>
                        <w:bCs/>
                        <w:color w:val="FFFFFF"/>
                        <w:sz w:val="15"/>
                        <w:szCs w:val="15"/>
                        <w:u w:val="none"/>
                      </w:rPr>
                      <w:t>Annual Report</w:t>
                    </w:r>
                  </w:hyperlink>
                </w:p>
              </w:tc>
              <w:tc>
                <w:tcPr>
                  <w:tcW w:w="0" w:type="auto"/>
                  <w:shd w:val="clear" w:color="auto" w:fill="FF0085"/>
                  <w:vAlign w:val="center"/>
                </w:tcPr>
                <w:p w:rsidR="000A04EE" w:rsidRDefault="000A04EE">
                  <w:pPr>
                    <w:jc w:val="center"/>
                    <w:rPr>
                      <w:b/>
                      <w:bCs/>
                      <w:color w:val="600060"/>
                    </w:rPr>
                  </w:pPr>
                  <w:hyperlink r:id="rId25" w:history="1">
                    <w:r>
                      <w:rPr>
                        <w:rStyle w:val="Hyperlink"/>
                        <w:rFonts w:ascii="Arial" w:hAnsi="Arial" w:cs="Arial"/>
                        <w:b/>
                        <w:bCs/>
                        <w:color w:val="FFFFFF"/>
                        <w:sz w:val="15"/>
                        <w:szCs w:val="15"/>
                        <w:u w:val="none"/>
                      </w:rPr>
                      <w:t>Workshops</w:t>
                    </w:r>
                  </w:hyperlink>
                </w:p>
              </w:tc>
              <w:tc>
                <w:tcPr>
                  <w:tcW w:w="0" w:type="auto"/>
                  <w:shd w:val="clear" w:color="auto" w:fill="FF0085"/>
                  <w:vAlign w:val="center"/>
                </w:tcPr>
                <w:p w:rsidR="000A04EE" w:rsidRDefault="000A04EE">
                  <w:pPr>
                    <w:jc w:val="center"/>
                    <w:rPr>
                      <w:b/>
                      <w:bCs/>
                      <w:color w:val="600060"/>
                    </w:rPr>
                  </w:pPr>
                  <w:hyperlink r:id="rId26" w:history="1">
                    <w:r>
                      <w:rPr>
                        <w:rStyle w:val="Hyperlink"/>
                        <w:rFonts w:ascii="Arial" w:hAnsi="Arial" w:cs="Arial"/>
                        <w:b/>
                        <w:bCs/>
                        <w:color w:val="FFFFFF"/>
                        <w:sz w:val="15"/>
                        <w:szCs w:val="15"/>
                        <w:u w:val="none"/>
                      </w:rPr>
                      <w:t>Your Help</w:t>
                    </w:r>
                  </w:hyperlink>
                </w:p>
              </w:tc>
              <w:tc>
                <w:tcPr>
                  <w:tcW w:w="0" w:type="auto"/>
                  <w:shd w:val="clear" w:color="auto" w:fill="FF0085"/>
                  <w:vAlign w:val="center"/>
                </w:tcPr>
                <w:p w:rsidR="000A04EE" w:rsidRDefault="000A04EE">
                  <w:pPr>
                    <w:jc w:val="center"/>
                    <w:rPr>
                      <w:b/>
                      <w:bCs/>
                      <w:color w:val="600060"/>
                    </w:rPr>
                  </w:pPr>
                  <w:hyperlink r:id="rId27" w:history="1">
                    <w:r>
                      <w:rPr>
                        <w:rStyle w:val="Hyperlink"/>
                        <w:rFonts w:ascii="Arial" w:hAnsi="Arial" w:cs="Arial"/>
                        <w:b/>
                        <w:bCs/>
                        <w:color w:val="FFFFFF"/>
                        <w:sz w:val="15"/>
                        <w:szCs w:val="15"/>
                        <w:u w:val="none"/>
                      </w:rPr>
                      <w:t>Feedback</w:t>
                    </w:r>
                  </w:hyperlink>
                </w:p>
              </w:tc>
            </w:tr>
          </w:tbl>
          <w:p w:rsidR="000A04EE" w:rsidRDefault="000A04EE">
            <w:pPr>
              <w:spacing w:line="225" w:lineRule="atLeast"/>
              <w:rPr>
                <w:color w:val="600060"/>
              </w:rPr>
            </w:pPr>
          </w:p>
        </w:tc>
      </w:tr>
    </w:tbl>
    <w:p w:rsidR="000A04EE" w:rsidRDefault="000A04EE">
      <w:pPr>
        <w:jc w:val="center"/>
      </w:pPr>
      <w:r>
        <w:rPr>
          <w:rFonts w:ascii="Arial" w:hAnsi="Arial" w:cs="Arial"/>
          <w:sz w:val="15"/>
          <w:szCs w:val="15"/>
        </w:rPr>
        <w:t xml:space="preserve">American Hospice Foundation </w:t>
      </w:r>
      <w:r>
        <w:rPr>
          <w:rFonts w:ascii="Arial" w:hAnsi="Arial" w:cs="Arial"/>
          <w:sz w:val="15"/>
          <w:szCs w:val="15"/>
        </w:rPr>
        <w:br/>
      </w:r>
      <w:smartTag w:uri="urn:schemas-microsoft-com:office:smarttags" w:element="Street">
        <w:smartTag w:uri="urn:schemas-microsoft-com:office:smarttags" w:element="address">
          <w:r>
            <w:rPr>
              <w:rFonts w:ascii="Arial" w:hAnsi="Arial" w:cs="Arial"/>
              <w:sz w:val="15"/>
              <w:szCs w:val="15"/>
            </w:rPr>
            <w:t>2120 L Street, NW</w:t>
          </w:r>
        </w:smartTag>
      </w:smartTag>
      <w:r>
        <w:rPr>
          <w:rFonts w:ascii="Arial" w:hAnsi="Arial" w:cs="Arial"/>
          <w:sz w:val="15"/>
          <w:szCs w:val="15"/>
        </w:rPr>
        <w:t xml:space="preserve"> ~ </w:t>
      </w:r>
      <w:smartTag w:uri="urn:schemas-microsoft-com:office:smarttags" w:element="address">
        <w:smartTag w:uri="urn:schemas-microsoft-com:office:smarttags" w:element="Street">
          <w:r>
            <w:rPr>
              <w:rFonts w:ascii="Arial" w:hAnsi="Arial" w:cs="Arial"/>
              <w:sz w:val="15"/>
              <w:szCs w:val="15"/>
            </w:rPr>
            <w:t>Suite</w:t>
          </w:r>
        </w:smartTag>
        <w:r>
          <w:rPr>
            <w:rFonts w:ascii="Arial" w:hAnsi="Arial" w:cs="Arial"/>
            <w:sz w:val="15"/>
            <w:szCs w:val="15"/>
          </w:rPr>
          <w:t xml:space="preserve"> 200</w:t>
        </w:r>
      </w:smartTag>
      <w:r>
        <w:rPr>
          <w:rFonts w:ascii="Arial" w:hAnsi="Arial" w:cs="Arial"/>
          <w:sz w:val="15"/>
          <w:szCs w:val="15"/>
        </w:rPr>
        <w:t xml:space="preserve"> ~ </w:t>
      </w:r>
      <w:smartTag w:uri="urn:schemas-microsoft-com:office:smarttags" w:element="place">
        <w:smartTag w:uri="urn:schemas-microsoft-com:office:smarttags" w:element="City">
          <w:r>
            <w:rPr>
              <w:rFonts w:ascii="Arial" w:hAnsi="Arial" w:cs="Arial"/>
              <w:sz w:val="15"/>
              <w:szCs w:val="15"/>
            </w:rPr>
            <w:t>Washington</w:t>
          </w:r>
        </w:smartTag>
        <w:r>
          <w:rPr>
            <w:rFonts w:ascii="Arial" w:hAnsi="Arial" w:cs="Arial"/>
            <w:sz w:val="15"/>
            <w:szCs w:val="15"/>
          </w:rPr>
          <w:t xml:space="preserve">, </w:t>
        </w:r>
        <w:smartTag w:uri="urn:schemas-microsoft-com:office:smarttags" w:element="State">
          <w:r>
            <w:rPr>
              <w:rFonts w:ascii="Arial" w:hAnsi="Arial" w:cs="Arial"/>
              <w:sz w:val="15"/>
              <w:szCs w:val="15"/>
            </w:rPr>
            <w:t>DC</w:t>
          </w:r>
        </w:smartTag>
        <w:r>
          <w:rPr>
            <w:rFonts w:ascii="Arial" w:hAnsi="Arial" w:cs="Arial"/>
            <w:sz w:val="15"/>
            <w:szCs w:val="15"/>
          </w:rPr>
          <w:t xml:space="preserve"> </w:t>
        </w:r>
        <w:smartTag w:uri="urn:schemas-microsoft-com:office:smarttags" w:element="PostalCode">
          <w:r>
            <w:rPr>
              <w:rFonts w:ascii="Arial" w:hAnsi="Arial" w:cs="Arial"/>
              <w:sz w:val="15"/>
              <w:szCs w:val="15"/>
            </w:rPr>
            <w:t>20037</w:t>
          </w:r>
        </w:smartTag>
      </w:smartTag>
      <w:r>
        <w:rPr>
          <w:rFonts w:ascii="Arial" w:hAnsi="Arial" w:cs="Arial"/>
          <w:sz w:val="15"/>
          <w:szCs w:val="15"/>
        </w:rPr>
        <w:br/>
        <w:t>Tel: 202-223-0204 ~ Fax: 202-223-0208 ~ E-mail: ahf@americanhospice.org</w:t>
      </w:r>
      <w:r>
        <w:rPr>
          <w:rFonts w:ascii="Arial" w:hAnsi="Arial" w:cs="Arial"/>
          <w:sz w:val="15"/>
          <w:szCs w:val="15"/>
        </w:rPr>
        <w:br/>
      </w:r>
      <w:r>
        <w:rPr>
          <w:rFonts w:ascii="Arial" w:hAnsi="Arial" w:cs="Arial"/>
          <w:sz w:val="15"/>
          <w:szCs w:val="15"/>
        </w:rPr>
        <w:br/>
        <w:t xml:space="preserve">The Foundation is a charitable non-profit corporation as defined in section 501(c)(3) of the Internal Revenue Code. </w:t>
      </w:r>
      <w:r>
        <w:rPr>
          <w:rFonts w:ascii="Arial" w:hAnsi="Arial" w:cs="Arial"/>
          <w:sz w:val="15"/>
          <w:szCs w:val="15"/>
        </w:rPr>
        <w:br/>
        <w:t xml:space="preserve">Contributions to the foundation are tax deductible. </w:t>
      </w:r>
      <w:hyperlink r:id="rId28" w:history="1">
        <w:r>
          <w:rPr>
            <w:rStyle w:val="Hyperlink"/>
            <w:rFonts w:ascii="Arial" w:hAnsi="Arial" w:cs="Arial"/>
            <w:sz w:val="15"/>
            <w:szCs w:val="15"/>
          </w:rPr>
          <w:t>Privacy policy.</w:t>
        </w:r>
      </w:hyperlink>
      <w:r>
        <w:t xml:space="preserve"> </w:t>
      </w:r>
    </w:p>
    <w:p w:rsidR="00592FB0" w:rsidRDefault="00592FB0"/>
    <w:sectPr w:rsidR="00592FB0">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2515C7"/>
    <w:multiLevelType w:val="multilevel"/>
    <w:tmpl w:val="426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8902E16"/>
    <w:multiLevelType w:val="multilevel"/>
    <w:tmpl w:val="76007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BE83F91"/>
    <w:multiLevelType w:val="multilevel"/>
    <w:tmpl w:val="C64E3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stylePaneFormatFilter w:val="3F01"/>
  <w:defaultTabStop w:val="720"/>
  <w:noPunctuationKerning/>
  <w:characterSpacingControl w:val="doNotCompress"/>
  <w:compat/>
  <w:rsids>
    <w:rsidRoot w:val="007151D6"/>
    <w:rsid w:val="00033AC3"/>
    <w:rsid w:val="000406A6"/>
    <w:rsid w:val="000600E0"/>
    <w:rsid w:val="000A04EE"/>
    <w:rsid w:val="000A4067"/>
    <w:rsid w:val="000B206F"/>
    <w:rsid w:val="000B2EFE"/>
    <w:rsid w:val="000E4AE1"/>
    <w:rsid w:val="000F341F"/>
    <w:rsid w:val="00103ACE"/>
    <w:rsid w:val="00106A1F"/>
    <w:rsid w:val="001357EC"/>
    <w:rsid w:val="00146AFD"/>
    <w:rsid w:val="00182094"/>
    <w:rsid w:val="001C5B14"/>
    <w:rsid w:val="001E4700"/>
    <w:rsid w:val="002023AF"/>
    <w:rsid w:val="00211FD1"/>
    <w:rsid w:val="00220ACC"/>
    <w:rsid w:val="00265D2C"/>
    <w:rsid w:val="00277EAD"/>
    <w:rsid w:val="002A3A89"/>
    <w:rsid w:val="002A69B2"/>
    <w:rsid w:val="002B11CE"/>
    <w:rsid w:val="002B1407"/>
    <w:rsid w:val="002D00BB"/>
    <w:rsid w:val="002D195F"/>
    <w:rsid w:val="003A1F33"/>
    <w:rsid w:val="003C3508"/>
    <w:rsid w:val="003F7DF7"/>
    <w:rsid w:val="00401A21"/>
    <w:rsid w:val="00443235"/>
    <w:rsid w:val="00481CBB"/>
    <w:rsid w:val="005774EE"/>
    <w:rsid w:val="00577B6E"/>
    <w:rsid w:val="00592FB0"/>
    <w:rsid w:val="00594FE6"/>
    <w:rsid w:val="005D662B"/>
    <w:rsid w:val="005F5CAB"/>
    <w:rsid w:val="00615FC0"/>
    <w:rsid w:val="0064542B"/>
    <w:rsid w:val="006B584E"/>
    <w:rsid w:val="006E7616"/>
    <w:rsid w:val="007151D6"/>
    <w:rsid w:val="00783593"/>
    <w:rsid w:val="00787AB4"/>
    <w:rsid w:val="007C0573"/>
    <w:rsid w:val="007D134E"/>
    <w:rsid w:val="007D54CC"/>
    <w:rsid w:val="00860123"/>
    <w:rsid w:val="008C7D58"/>
    <w:rsid w:val="008D7922"/>
    <w:rsid w:val="00914EEA"/>
    <w:rsid w:val="00926B6E"/>
    <w:rsid w:val="00941773"/>
    <w:rsid w:val="00944151"/>
    <w:rsid w:val="00953C92"/>
    <w:rsid w:val="00966153"/>
    <w:rsid w:val="0099553E"/>
    <w:rsid w:val="009B6FAA"/>
    <w:rsid w:val="009E1997"/>
    <w:rsid w:val="00A05B68"/>
    <w:rsid w:val="00A2138C"/>
    <w:rsid w:val="00A62D6C"/>
    <w:rsid w:val="00AE6A7B"/>
    <w:rsid w:val="00B619A9"/>
    <w:rsid w:val="00B93C74"/>
    <w:rsid w:val="00C122D9"/>
    <w:rsid w:val="00C62066"/>
    <w:rsid w:val="00C66EC2"/>
    <w:rsid w:val="00C81938"/>
    <w:rsid w:val="00CA4E5E"/>
    <w:rsid w:val="00CA7D18"/>
    <w:rsid w:val="00CB6100"/>
    <w:rsid w:val="00D02E8C"/>
    <w:rsid w:val="00D40001"/>
    <w:rsid w:val="00D419E8"/>
    <w:rsid w:val="00D55FF4"/>
    <w:rsid w:val="00D83B04"/>
    <w:rsid w:val="00DA5CA1"/>
    <w:rsid w:val="00DB547C"/>
    <w:rsid w:val="00DF40F8"/>
    <w:rsid w:val="00E27B3A"/>
    <w:rsid w:val="00E31C11"/>
    <w:rsid w:val="00E53B13"/>
    <w:rsid w:val="00EC5059"/>
    <w:rsid w:val="00F056B7"/>
    <w:rsid w:val="00F1538B"/>
    <w:rsid w:val="00F60E27"/>
    <w:rsid w:val="00F818AA"/>
    <w:rsid w:val="00FE49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State"/>
  <w:smartTagType w:namespaceuri="urn:schemas-microsoft-com:office:smarttags" w:name="PostalCod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2">
    <w:name w:val="heading 2"/>
    <w:basedOn w:val="Normal"/>
    <w:qFormat/>
    <w:pPr>
      <w:keepNext/>
      <w:outlineLvl w:val="1"/>
    </w:pPr>
    <w:rPr>
      <w:rFonts w:ascii="Arial" w:hAnsi="Arial" w:cs="Arial"/>
      <w:b/>
      <w:bCs/>
      <w:color w:val="60006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basedOn w:val="DefaultParagraphFont"/>
    <w:rPr>
      <w:color w:val="FF3366"/>
      <w:u w:val="single"/>
    </w:rPr>
  </w:style>
  <w:style w:type="paragraph" w:styleId="Title">
    <w:name w:val="Title"/>
    <w:basedOn w:val="Normal"/>
    <w:qFormat/>
    <w:pPr>
      <w:spacing w:before="100" w:beforeAutospacing="1" w:after="100" w:afterAutospacing="1"/>
    </w:pPr>
    <w:rPr>
      <w:color w:val="600060"/>
    </w:rPr>
  </w:style>
  <w:style w:type="paragraph" w:styleId="NormalWeb">
    <w:name w:val="Normal (Web)"/>
    <w:basedOn w:val="Normal"/>
    <w:pPr>
      <w:spacing w:before="100" w:beforeAutospacing="1" w:after="100" w:afterAutospacing="1"/>
    </w:pPr>
    <w:rPr>
      <w:color w:val="600060"/>
    </w:rPr>
  </w:style>
</w:styles>
</file>

<file path=word/webSettings.xml><?xml version="1.0" encoding="utf-8"?>
<w:webSettings xmlns:r="http://schemas.openxmlformats.org/officeDocument/2006/relationships" xmlns:w="http://schemas.openxmlformats.org/wordprocessingml/2006/main">
  <w:divs>
    <w:div w:id="194078639">
      <w:bodyDiv w:val="1"/>
      <w:marLeft w:val="0"/>
      <w:marRight w:val="0"/>
      <w:marTop w:val="0"/>
      <w:marBottom w:val="0"/>
      <w:divBdr>
        <w:top w:val="none" w:sz="0" w:space="0" w:color="auto"/>
        <w:left w:val="none" w:sz="0" w:space="0" w:color="auto"/>
        <w:bottom w:val="none" w:sz="0" w:space="0" w:color="auto"/>
        <w:right w:val="none" w:sz="0" w:space="0" w:color="auto"/>
      </w:divBdr>
      <w:divsChild>
        <w:div w:id="1352202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americanhospice.org/SchoolCorner/factsheets.htm" TargetMode="External"/><Relationship Id="rId18" Type="http://schemas.openxmlformats.org/officeDocument/2006/relationships/image" Target="media/image7.jpeg"/><Relationship Id="rId26" Type="http://schemas.openxmlformats.org/officeDocument/2006/relationships/hyperlink" Target="http://www.americanhospice.org/help.htm" TargetMode="External"/><Relationship Id="rId3" Type="http://schemas.openxmlformats.org/officeDocument/2006/relationships/settings" Target="settings.xml"/><Relationship Id="rId21" Type="http://schemas.openxmlformats.org/officeDocument/2006/relationships/hyperlink" Target="http://www.americanhospice.org/search.htm" TargetMode="External"/><Relationship Id="rId7" Type="http://schemas.openxmlformats.org/officeDocument/2006/relationships/hyperlink" Target="http://www.americanhospice.org/SchoolCorner/index.htm" TargetMode="External"/><Relationship Id="rId12" Type="http://schemas.openxmlformats.org/officeDocument/2006/relationships/image" Target="media/image4.jpeg"/><Relationship Id="rId17" Type="http://schemas.openxmlformats.org/officeDocument/2006/relationships/hyperlink" Target="http://www.americanhospice.org/aspnet/ordering/SchoolProducts.aspx" TargetMode="External"/><Relationship Id="rId25" Type="http://schemas.openxmlformats.org/officeDocument/2006/relationships/hyperlink" Target="http://www.americanhospice.org/train2.htm" TargetMode="Externa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hyperlink" Target="javascript:history.go(-1)"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www.americanhospice.org/SchoolCorner/Resources.htm" TargetMode="External"/><Relationship Id="rId24" Type="http://schemas.openxmlformats.org/officeDocument/2006/relationships/hyperlink" Target="http://www.americanhospice.org/way.htm" TargetMode="External"/><Relationship Id="rId5" Type="http://schemas.openxmlformats.org/officeDocument/2006/relationships/hyperlink" Target="http://www.americanhospice.org/index.htm" TargetMode="External"/><Relationship Id="rId15" Type="http://schemas.openxmlformats.org/officeDocument/2006/relationships/hyperlink" Target="http://www.americanhospice.org/SchoolCorner/BookReviews.htm" TargetMode="External"/><Relationship Id="rId23" Type="http://schemas.openxmlformats.org/officeDocument/2006/relationships/hyperlink" Target="http://www.americanhospice.org/articles.htm" TargetMode="External"/><Relationship Id="rId28" Type="http://schemas.openxmlformats.org/officeDocument/2006/relationships/hyperlink" Target="http://www.americanhospice.org/privacy.htm" TargetMode="External"/><Relationship Id="rId10" Type="http://schemas.openxmlformats.org/officeDocument/2006/relationships/image" Target="media/image3.jpeg"/><Relationship Id="rId19" Type="http://schemas.openxmlformats.org/officeDocument/2006/relationships/hyperlink" Target="http://www.americanhospice.org/index.htm" TargetMode="External"/><Relationship Id="rId4" Type="http://schemas.openxmlformats.org/officeDocument/2006/relationships/webSettings" Target="webSettings.xml"/><Relationship Id="rId9" Type="http://schemas.openxmlformats.org/officeDocument/2006/relationships/hyperlink" Target="http://www.americanhospice.org/SchoolCorner/articles.htm" TargetMode="External"/><Relationship Id="rId14" Type="http://schemas.openxmlformats.org/officeDocument/2006/relationships/image" Target="media/image5.jpeg"/><Relationship Id="rId22" Type="http://schemas.openxmlformats.org/officeDocument/2006/relationships/hyperlink" Target="http://www.americanhospice.org/pubs.htm" TargetMode="External"/><Relationship Id="rId27" Type="http://schemas.openxmlformats.org/officeDocument/2006/relationships/hyperlink" Target="http://www.americanhospice.org/feedback.htm"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698</Words>
  <Characters>3983</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School Corner</vt:lpstr>
    </vt:vector>
  </TitlesOfParts>
  <Company/>
  <LinksUpToDate>false</LinksUpToDate>
  <CharactersWithSpaces>4672</CharactersWithSpaces>
  <SharedDoc>false</SharedDoc>
  <HLinks>
    <vt:vector size="216" baseType="variant">
      <vt:variant>
        <vt:i4>3932272</vt:i4>
      </vt:variant>
      <vt:variant>
        <vt:i4>105</vt:i4>
      </vt:variant>
      <vt:variant>
        <vt:i4>0</vt:i4>
      </vt:variant>
      <vt:variant>
        <vt:i4>5</vt:i4>
      </vt:variant>
      <vt:variant>
        <vt:lpwstr>http://www.americanhospice.org/privacy.htm</vt:lpwstr>
      </vt:variant>
      <vt:variant>
        <vt:lpwstr/>
      </vt:variant>
      <vt:variant>
        <vt:i4>6291502</vt:i4>
      </vt:variant>
      <vt:variant>
        <vt:i4>102</vt:i4>
      </vt:variant>
      <vt:variant>
        <vt:i4>0</vt:i4>
      </vt:variant>
      <vt:variant>
        <vt:i4>5</vt:i4>
      </vt:variant>
      <vt:variant>
        <vt:lpwstr>http://www.americanhospice.org/feedback.htm</vt:lpwstr>
      </vt:variant>
      <vt:variant>
        <vt:lpwstr/>
      </vt:variant>
      <vt:variant>
        <vt:i4>6684720</vt:i4>
      </vt:variant>
      <vt:variant>
        <vt:i4>99</vt:i4>
      </vt:variant>
      <vt:variant>
        <vt:i4>0</vt:i4>
      </vt:variant>
      <vt:variant>
        <vt:i4>5</vt:i4>
      </vt:variant>
      <vt:variant>
        <vt:lpwstr>http://www.americanhospice.org/help.htm</vt:lpwstr>
      </vt:variant>
      <vt:variant>
        <vt:lpwstr/>
      </vt:variant>
      <vt:variant>
        <vt:i4>1638412</vt:i4>
      </vt:variant>
      <vt:variant>
        <vt:i4>96</vt:i4>
      </vt:variant>
      <vt:variant>
        <vt:i4>0</vt:i4>
      </vt:variant>
      <vt:variant>
        <vt:i4>5</vt:i4>
      </vt:variant>
      <vt:variant>
        <vt:lpwstr>http://www.americanhospice.org/train2.htm</vt:lpwstr>
      </vt:variant>
      <vt:variant>
        <vt:lpwstr/>
      </vt:variant>
      <vt:variant>
        <vt:i4>3342454</vt:i4>
      </vt:variant>
      <vt:variant>
        <vt:i4>93</vt:i4>
      </vt:variant>
      <vt:variant>
        <vt:i4>0</vt:i4>
      </vt:variant>
      <vt:variant>
        <vt:i4>5</vt:i4>
      </vt:variant>
      <vt:variant>
        <vt:lpwstr>http://www.americanhospice.org/way.htm</vt:lpwstr>
      </vt:variant>
      <vt:variant>
        <vt:lpwstr/>
      </vt:variant>
      <vt:variant>
        <vt:i4>7405601</vt:i4>
      </vt:variant>
      <vt:variant>
        <vt:i4>90</vt:i4>
      </vt:variant>
      <vt:variant>
        <vt:i4>0</vt:i4>
      </vt:variant>
      <vt:variant>
        <vt:i4>5</vt:i4>
      </vt:variant>
      <vt:variant>
        <vt:lpwstr>http://www.americanhospice.org/articles.htm</vt:lpwstr>
      </vt:variant>
      <vt:variant>
        <vt:lpwstr/>
      </vt:variant>
      <vt:variant>
        <vt:i4>7340067</vt:i4>
      </vt:variant>
      <vt:variant>
        <vt:i4>87</vt:i4>
      </vt:variant>
      <vt:variant>
        <vt:i4>0</vt:i4>
      </vt:variant>
      <vt:variant>
        <vt:i4>5</vt:i4>
      </vt:variant>
      <vt:variant>
        <vt:lpwstr>http://www.americanhospice.org/pubs.htm</vt:lpwstr>
      </vt:variant>
      <vt:variant>
        <vt:lpwstr/>
      </vt:variant>
      <vt:variant>
        <vt:i4>1245274</vt:i4>
      </vt:variant>
      <vt:variant>
        <vt:i4>84</vt:i4>
      </vt:variant>
      <vt:variant>
        <vt:i4>0</vt:i4>
      </vt:variant>
      <vt:variant>
        <vt:i4>5</vt:i4>
      </vt:variant>
      <vt:variant>
        <vt:lpwstr>http://www.americanhospice.org/search.htm</vt:lpwstr>
      </vt:variant>
      <vt:variant>
        <vt:lpwstr/>
      </vt:variant>
      <vt:variant>
        <vt:i4>852052</vt:i4>
      </vt:variant>
      <vt:variant>
        <vt:i4>81</vt:i4>
      </vt:variant>
      <vt:variant>
        <vt:i4>0</vt:i4>
      </vt:variant>
      <vt:variant>
        <vt:i4>5</vt:i4>
      </vt:variant>
      <vt:variant>
        <vt:lpwstr>javascript:history.go(-1)</vt:lpwstr>
      </vt:variant>
      <vt:variant>
        <vt:lpwstr/>
      </vt:variant>
      <vt:variant>
        <vt:i4>4718620</vt:i4>
      </vt:variant>
      <vt:variant>
        <vt:i4>78</vt:i4>
      </vt:variant>
      <vt:variant>
        <vt:i4>0</vt:i4>
      </vt:variant>
      <vt:variant>
        <vt:i4>5</vt:i4>
      </vt:variant>
      <vt:variant>
        <vt:lpwstr>http://www.americanhospice.org/index.htm</vt:lpwstr>
      </vt:variant>
      <vt:variant>
        <vt:lpwstr/>
      </vt:variant>
      <vt:variant>
        <vt:i4>3473515</vt:i4>
      </vt:variant>
      <vt:variant>
        <vt:i4>72</vt:i4>
      </vt:variant>
      <vt:variant>
        <vt:i4>0</vt:i4>
      </vt:variant>
      <vt:variant>
        <vt:i4>5</vt:i4>
      </vt:variant>
      <vt:variant>
        <vt:lpwstr>http://www.americanhospice.org/aspnet/ordering/SchoolProducts.aspx</vt:lpwstr>
      </vt:variant>
      <vt:variant>
        <vt:lpwstr/>
      </vt:variant>
      <vt:variant>
        <vt:i4>3276841</vt:i4>
      </vt:variant>
      <vt:variant>
        <vt:i4>66</vt:i4>
      </vt:variant>
      <vt:variant>
        <vt:i4>0</vt:i4>
      </vt:variant>
      <vt:variant>
        <vt:i4>5</vt:i4>
      </vt:variant>
      <vt:variant>
        <vt:lpwstr>http://www.americanhospice.org/SchoolCorner/BookReviews.htm</vt:lpwstr>
      </vt:variant>
      <vt:variant>
        <vt:lpwstr/>
      </vt:variant>
      <vt:variant>
        <vt:i4>7929955</vt:i4>
      </vt:variant>
      <vt:variant>
        <vt:i4>60</vt:i4>
      </vt:variant>
      <vt:variant>
        <vt:i4>0</vt:i4>
      </vt:variant>
      <vt:variant>
        <vt:i4>5</vt:i4>
      </vt:variant>
      <vt:variant>
        <vt:lpwstr>http://www.americanhospice.org/SchoolCorner/factsheets.htm</vt:lpwstr>
      </vt:variant>
      <vt:variant>
        <vt:lpwstr/>
      </vt:variant>
      <vt:variant>
        <vt:i4>5242962</vt:i4>
      </vt:variant>
      <vt:variant>
        <vt:i4>54</vt:i4>
      </vt:variant>
      <vt:variant>
        <vt:i4>0</vt:i4>
      </vt:variant>
      <vt:variant>
        <vt:i4>5</vt:i4>
      </vt:variant>
      <vt:variant>
        <vt:lpwstr>http://www.americanhospice.org/SchoolCorner/Resources.htm</vt:lpwstr>
      </vt:variant>
      <vt:variant>
        <vt:lpwstr/>
      </vt:variant>
      <vt:variant>
        <vt:i4>1441815</vt:i4>
      </vt:variant>
      <vt:variant>
        <vt:i4>48</vt:i4>
      </vt:variant>
      <vt:variant>
        <vt:i4>0</vt:i4>
      </vt:variant>
      <vt:variant>
        <vt:i4>5</vt:i4>
      </vt:variant>
      <vt:variant>
        <vt:lpwstr>http://www.americanhospice.org/SchoolCorner/articles.htm</vt:lpwstr>
      </vt:variant>
      <vt:variant>
        <vt:lpwstr/>
      </vt:variant>
      <vt:variant>
        <vt:i4>4587587</vt:i4>
      </vt:variant>
      <vt:variant>
        <vt:i4>42</vt:i4>
      </vt:variant>
      <vt:variant>
        <vt:i4>0</vt:i4>
      </vt:variant>
      <vt:variant>
        <vt:i4>5</vt:i4>
      </vt:variant>
      <vt:variant>
        <vt:lpwstr>http://www.americanhospice.org/SchoolCorner/index.htm</vt:lpwstr>
      </vt:variant>
      <vt:variant>
        <vt:lpwstr/>
      </vt:variant>
      <vt:variant>
        <vt:i4>3473515</vt:i4>
      </vt:variant>
      <vt:variant>
        <vt:i4>36</vt:i4>
      </vt:variant>
      <vt:variant>
        <vt:i4>0</vt:i4>
      </vt:variant>
      <vt:variant>
        <vt:i4>5</vt:i4>
      </vt:variant>
      <vt:variant>
        <vt:lpwstr>http://www.americanhospice.org/aspnet/ordering/SchoolProducts.aspx</vt:lpwstr>
      </vt:variant>
      <vt:variant>
        <vt:lpwstr/>
      </vt:variant>
      <vt:variant>
        <vt:i4>3276841</vt:i4>
      </vt:variant>
      <vt:variant>
        <vt:i4>30</vt:i4>
      </vt:variant>
      <vt:variant>
        <vt:i4>0</vt:i4>
      </vt:variant>
      <vt:variant>
        <vt:i4>5</vt:i4>
      </vt:variant>
      <vt:variant>
        <vt:lpwstr>http://www.americanhospice.org/SchoolCorner/BookReviews.htm</vt:lpwstr>
      </vt:variant>
      <vt:variant>
        <vt:lpwstr/>
      </vt:variant>
      <vt:variant>
        <vt:i4>7929955</vt:i4>
      </vt:variant>
      <vt:variant>
        <vt:i4>24</vt:i4>
      </vt:variant>
      <vt:variant>
        <vt:i4>0</vt:i4>
      </vt:variant>
      <vt:variant>
        <vt:i4>5</vt:i4>
      </vt:variant>
      <vt:variant>
        <vt:lpwstr>http://www.americanhospice.org/SchoolCorner/factsheets.htm</vt:lpwstr>
      </vt:variant>
      <vt:variant>
        <vt:lpwstr/>
      </vt:variant>
      <vt:variant>
        <vt:i4>5242962</vt:i4>
      </vt:variant>
      <vt:variant>
        <vt:i4>18</vt:i4>
      </vt:variant>
      <vt:variant>
        <vt:i4>0</vt:i4>
      </vt:variant>
      <vt:variant>
        <vt:i4>5</vt:i4>
      </vt:variant>
      <vt:variant>
        <vt:lpwstr>http://www.americanhospice.org/SchoolCorner/Resources.htm</vt:lpwstr>
      </vt:variant>
      <vt:variant>
        <vt:lpwstr/>
      </vt:variant>
      <vt:variant>
        <vt:i4>1441815</vt:i4>
      </vt:variant>
      <vt:variant>
        <vt:i4>12</vt:i4>
      </vt:variant>
      <vt:variant>
        <vt:i4>0</vt:i4>
      </vt:variant>
      <vt:variant>
        <vt:i4>5</vt:i4>
      </vt:variant>
      <vt:variant>
        <vt:lpwstr>http://www.americanhospice.org/SchoolCorner/articles.htm</vt:lpwstr>
      </vt:variant>
      <vt:variant>
        <vt:lpwstr/>
      </vt:variant>
      <vt:variant>
        <vt:i4>4587587</vt:i4>
      </vt:variant>
      <vt:variant>
        <vt:i4>6</vt:i4>
      </vt:variant>
      <vt:variant>
        <vt:i4>0</vt:i4>
      </vt:variant>
      <vt:variant>
        <vt:i4>5</vt:i4>
      </vt:variant>
      <vt:variant>
        <vt:lpwstr>http://www.americanhospice.org/SchoolCorner/index.htm</vt:lpwstr>
      </vt:variant>
      <vt:variant>
        <vt:lpwstr/>
      </vt:variant>
      <vt:variant>
        <vt:i4>4718620</vt:i4>
      </vt:variant>
      <vt:variant>
        <vt:i4>0</vt:i4>
      </vt:variant>
      <vt:variant>
        <vt:i4>0</vt:i4>
      </vt:variant>
      <vt:variant>
        <vt:i4>5</vt:i4>
      </vt:variant>
      <vt:variant>
        <vt:lpwstr>http://www.americanhospice.org/index.htm</vt:lpwstr>
      </vt:variant>
      <vt:variant>
        <vt:lpwstr/>
      </vt:variant>
      <vt:variant>
        <vt:i4>4718620</vt:i4>
      </vt:variant>
      <vt:variant>
        <vt:i4>2201</vt:i4>
      </vt:variant>
      <vt:variant>
        <vt:i4>1025</vt:i4>
      </vt:variant>
      <vt:variant>
        <vt:i4>4</vt:i4>
      </vt:variant>
      <vt:variant>
        <vt:lpwstr>http://www.americanhospice.org/index.htm</vt:lpwstr>
      </vt:variant>
      <vt:variant>
        <vt:lpwstr/>
      </vt:variant>
      <vt:variant>
        <vt:i4>4587587</vt:i4>
      </vt:variant>
      <vt:variant>
        <vt:i4>2381</vt:i4>
      </vt:variant>
      <vt:variant>
        <vt:i4>1026</vt:i4>
      </vt:variant>
      <vt:variant>
        <vt:i4>4</vt:i4>
      </vt:variant>
      <vt:variant>
        <vt:lpwstr>http://www.americanhospice.org/SchoolCorner/index.htm</vt:lpwstr>
      </vt:variant>
      <vt:variant>
        <vt:lpwstr/>
      </vt:variant>
      <vt:variant>
        <vt:i4>1441815</vt:i4>
      </vt:variant>
      <vt:variant>
        <vt:i4>2559</vt:i4>
      </vt:variant>
      <vt:variant>
        <vt:i4>1027</vt:i4>
      </vt:variant>
      <vt:variant>
        <vt:i4>4</vt:i4>
      </vt:variant>
      <vt:variant>
        <vt:lpwstr>http://www.americanhospice.org/SchoolCorner/articles.htm</vt:lpwstr>
      </vt:variant>
      <vt:variant>
        <vt:lpwstr/>
      </vt:variant>
      <vt:variant>
        <vt:i4>5242962</vt:i4>
      </vt:variant>
      <vt:variant>
        <vt:i4>2744</vt:i4>
      </vt:variant>
      <vt:variant>
        <vt:i4>1028</vt:i4>
      </vt:variant>
      <vt:variant>
        <vt:i4>4</vt:i4>
      </vt:variant>
      <vt:variant>
        <vt:lpwstr>http://www.americanhospice.org/SchoolCorner/Resources.htm</vt:lpwstr>
      </vt:variant>
      <vt:variant>
        <vt:lpwstr/>
      </vt:variant>
      <vt:variant>
        <vt:i4>7929955</vt:i4>
      </vt:variant>
      <vt:variant>
        <vt:i4>2926</vt:i4>
      </vt:variant>
      <vt:variant>
        <vt:i4>1029</vt:i4>
      </vt:variant>
      <vt:variant>
        <vt:i4>4</vt:i4>
      </vt:variant>
      <vt:variant>
        <vt:lpwstr>http://www.americanhospice.org/SchoolCorner/factsheets.htm</vt:lpwstr>
      </vt:variant>
      <vt:variant>
        <vt:lpwstr/>
      </vt:variant>
      <vt:variant>
        <vt:i4>3276841</vt:i4>
      </vt:variant>
      <vt:variant>
        <vt:i4>3110</vt:i4>
      </vt:variant>
      <vt:variant>
        <vt:i4>1030</vt:i4>
      </vt:variant>
      <vt:variant>
        <vt:i4>4</vt:i4>
      </vt:variant>
      <vt:variant>
        <vt:lpwstr>http://www.americanhospice.org/SchoolCorner/BookReviews.htm</vt:lpwstr>
      </vt:variant>
      <vt:variant>
        <vt:lpwstr/>
      </vt:variant>
      <vt:variant>
        <vt:i4>3473515</vt:i4>
      </vt:variant>
      <vt:variant>
        <vt:i4>3291</vt:i4>
      </vt:variant>
      <vt:variant>
        <vt:i4>1031</vt:i4>
      </vt:variant>
      <vt:variant>
        <vt:i4>4</vt:i4>
      </vt:variant>
      <vt:variant>
        <vt:lpwstr>http://www.americanhospice.org/aspnet/ordering/SchoolProducts.aspx</vt:lpwstr>
      </vt:variant>
      <vt:variant>
        <vt:lpwstr/>
      </vt:variant>
      <vt:variant>
        <vt:i4>4587587</vt:i4>
      </vt:variant>
      <vt:variant>
        <vt:i4>8398</vt:i4>
      </vt:variant>
      <vt:variant>
        <vt:i4>1034</vt:i4>
      </vt:variant>
      <vt:variant>
        <vt:i4>4</vt:i4>
      </vt:variant>
      <vt:variant>
        <vt:lpwstr>http://www.americanhospice.org/SchoolCorner/index.htm</vt:lpwstr>
      </vt:variant>
      <vt:variant>
        <vt:lpwstr/>
      </vt:variant>
      <vt:variant>
        <vt:i4>1441815</vt:i4>
      </vt:variant>
      <vt:variant>
        <vt:i4>8576</vt:i4>
      </vt:variant>
      <vt:variant>
        <vt:i4>1035</vt:i4>
      </vt:variant>
      <vt:variant>
        <vt:i4>4</vt:i4>
      </vt:variant>
      <vt:variant>
        <vt:lpwstr>http://www.americanhospice.org/SchoolCorner/articles.htm</vt:lpwstr>
      </vt:variant>
      <vt:variant>
        <vt:lpwstr/>
      </vt:variant>
      <vt:variant>
        <vt:i4>5242962</vt:i4>
      </vt:variant>
      <vt:variant>
        <vt:i4>8761</vt:i4>
      </vt:variant>
      <vt:variant>
        <vt:i4>1036</vt:i4>
      </vt:variant>
      <vt:variant>
        <vt:i4>4</vt:i4>
      </vt:variant>
      <vt:variant>
        <vt:lpwstr>http://www.americanhospice.org/SchoolCorner/Resources.htm</vt:lpwstr>
      </vt:variant>
      <vt:variant>
        <vt:lpwstr/>
      </vt:variant>
      <vt:variant>
        <vt:i4>7929955</vt:i4>
      </vt:variant>
      <vt:variant>
        <vt:i4>8943</vt:i4>
      </vt:variant>
      <vt:variant>
        <vt:i4>1037</vt:i4>
      </vt:variant>
      <vt:variant>
        <vt:i4>4</vt:i4>
      </vt:variant>
      <vt:variant>
        <vt:lpwstr>http://www.americanhospice.org/SchoolCorner/factsheets.htm</vt:lpwstr>
      </vt:variant>
      <vt:variant>
        <vt:lpwstr/>
      </vt:variant>
      <vt:variant>
        <vt:i4>3276841</vt:i4>
      </vt:variant>
      <vt:variant>
        <vt:i4>9127</vt:i4>
      </vt:variant>
      <vt:variant>
        <vt:i4>1038</vt:i4>
      </vt:variant>
      <vt:variant>
        <vt:i4>4</vt:i4>
      </vt:variant>
      <vt:variant>
        <vt:lpwstr>http://www.americanhospice.org/SchoolCorner/BookReviews.htm</vt:lpwstr>
      </vt:variant>
      <vt:variant>
        <vt:lpwstr/>
      </vt:variant>
      <vt:variant>
        <vt:i4>3473515</vt:i4>
      </vt:variant>
      <vt:variant>
        <vt:i4>14430</vt:i4>
      </vt:variant>
      <vt:variant>
        <vt:i4>1039</vt:i4>
      </vt:variant>
      <vt:variant>
        <vt:i4>4</vt:i4>
      </vt:variant>
      <vt:variant>
        <vt:lpwstr>http://www.americanhospice.org/aspnet/ordering/SchoolProducts.aspx</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Corner</dc:title>
  <dc:subject/>
  <dc:creator> </dc:creator>
  <cp:keywords/>
  <dc:description/>
  <cp:lastModifiedBy>Rohn Rhodes</cp:lastModifiedBy>
  <cp:revision>2</cp:revision>
  <dcterms:created xsi:type="dcterms:W3CDTF">2011-06-21T19:01:00Z</dcterms:created>
  <dcterms:modified xsi:type="dcterms:W3CDTF">2011-06-21T19:01:00Z</dcterms:modified>
</cp:coreProperties>
</file>