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4F53" w:rsidRPr="00114F53" w:rsidRDefault="00114F53" w:rsidP="00114F53">
      <w:pPr>
        <w:spacing w:before="100" w:beforeAutospacing="1" w:after="100" w:afterAutospacing="1" w:line="240" w:lineRule="auto"/>
        <w:outlineLvl w:val="0"/>
        <w:rPr>
          <w:rFonts w:ascii="Arial" w:eastAsia="Times New Roman" w:hAnsi="Arial" w:cs="Arial"/>
          <w:b/>
          <w:bCs/>
          <w:color w:val="000080"/>
          <w:kern w:val="36"/>
          <w:sz w:val="27"/>
          <w:szCs w:val="27"/>
        </w:rPr>
      </w:pPr>
      <w:r w:rsidRPr="00114F53">
        <w:rPr>
          <w:rFonts w:ascii="Arial" w:eastAsia="Times New Roman" w:hAnsi="Arial" w:cs="Arial"/>
          <w:b/>
          <w:bCs/>
          <w:color w:val="000080"/>
          <w:kern w:val="36"/>
          <w:sz w:val="27"/>
          <w:szCs w:val="27"/>
        </w:rPr>
        <w:t>Código de política: 1310/4002 Participación de los padres</w:t>
      </w:r>
    </w:p>
    <w:p w:rsidR="00114F53" w:rsidRPr="00114F53" w:rsidRDefault="00114F53" w:rsidP="00114F53">
      <w:pPr>
        <w:spacing w:before="100" w:beforeAutospacing="1" w:after="100" w:afterAutospacing="1" w:line="240" w:lineRule="auto"/>
        <w:rPr>
          <w:rFonts w:ascii="Arial" w:eastAsia="Times New Roman" w:hAnsi="Arial" w:cs="Arial"/>
          <w:color w:val="000000"/>
          <w:sz w:val="24"/>
          <w:szCs w:val="24"/>
        </w:rPr>
      </w:pPr>
      <w:r w:rsidRPr="00114F53">
        <w:rPr>
          <w:rFonts w:ascii="Arial" w:eastAsia="Times New Roman" w:hAnsi="Arial" w:cs="Arial"/>
          <w:color w:val="000000"/>
          <w:sz w:val="24"/>
          <w:szCs w:val="24"/>
        </w:rPr>
        <w:t>La Junta de Educación del Condado de Duplin (la "Junta") reconoce el papel fundamental de los padres en la educación de sus hijos y en las escuelas. La Junta dirige a los administradores escolares a desarrollar programas que promuevan y apoyen la participación de los padres en el aprendizaje y el rendimiento de los estudiantes en la escuela y en el hogar y fomenten el progreso exitoso hacia la graduación. Se alienta a cada padre a conocer el programa educativo, las metas y objetivos educativos del distrito escolar y el progreso de su propio hijo. La Junta también alienta a los padres a participar en actividades diseñadas por el personal de la escuela para involucrarlos, como conferencias de padres, para fomentar una comunicación efectiva.</w:t>
      </w:r>
    </w:p>
    <w:p w:rsidR="00114F53" w:rsidRPr="00114F53" w:rsidRDefault="00114F53" w:rsidP="00114F53">
      <w:pPr>
        <w:spacing w:before="100" w:beforeAutospacing="1" w:after="100" w:afterAutospacing="1" w:line="240" w:lineRule="auto"/>
        <w:rPr>
          <w:rFonts w:ascii="Arial" w:eastAsia="Times New Roman" w:hAnsi="Arial" w:cs="Arial"/>
          <w:color w:val="000000"/>
          <w:sz w:val="24"/>
          <w:szCs w:val="24"/>
        </w:rPr>
      </w:pPr>
      <w:r w:rsidRPr="00114F53">
        <w:rPr>
          <w:rFonts w:ascii="Arial" w:eastAsia="Times New Roman" w:hAnsi="Arial" w:cs="Arial"/>
          <w:color w:val="000000"/>
          <w:sz w:val="24"/>
          <w:szCs w:val="24"/>
        </w:rPr>
        <w:t>La Junta dirige a cada director o designado a desarrollar un plan de participación de los padres como parte del plan de mejoramiento escolar. Este plan debe incluir, como mínimo, esfuerzos que cumplan con los requisitos establecidos en esta política. Además, el plan debe incluir formas de mejorar la participación de los padres en las siguientes áreas:</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1. comunicación bidireccional significativa entre el hogar y la escuela;</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2. promoción de la crianza responsable;</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3. participación de los padres y tutores en el aprendizaje de los estudiantes;</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4. promoción del voluntariado;</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5. participación de los padres y tutores en las decisiones escolares que afectan a los niños y las familias;</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6. formación de los padres;</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7. colaboración comunitaria; y</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8. promoción de la concienciación sobre la salud de los estudiantes.</w:t>
      </w:r>
    </w:p>
    <w:p w:rsidR="00114F53" w:rsidRPr="00114F53" w:rsidRDefault="00114F53" w:rsidP="00114F53">
      <w:pPr>
        <w:spacing w:before="100" w:beforeAutospacing="1" w:after="100" w:afterAutospacing="1" w:line="240" w:lineRule="auto"/>
        <w:rPr>
          <w:rFonts w:ascii="Arial" w:eastAsia="Times New Roman" w:hAnsi="Arial" w:cs="Arial"/>
          <w:color w:val="000000"/>
          <w:sz w:val="24"/>
          <w:szCs w:val="24"/>
        </w:rPr>
      </w:pPr>
      <w:r w:rsidRPr="00114F53">
        <w:rPr>
          <w:rFonts w:ascii="Arial" w:eastAsia="Times New Roman" w:hAnsi="Arial" w:cs="Arial"/>
          <w:color w:val="000000"/>
          <w:sz w:val="24"/>
          <w:szCs w:val="24"/>
        </w:rPr>
        <w:t>Esta política se aplica a los padres, tutores legales y custodios legales de estudiantes menores de 18 años que no estén casados.</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b/>
          <w:bCs/>
          <w:color w:val="000000"/>
          <w:sz w:val="24"/>
          <w:szCs w:val="24"/>
        </w:rPr>
        <w:t>A. Comunicación y conferencias con los padres</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La Junta alienta al personal de la escuela a tener contacto regular con los padres para elogios, así como para la notificación de preocupaciones. Los directores o designados deberán planificar la comunicación periódica con los padres. Los maestros son responsables de programar conferencias con los padres. </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lastRenderedPageBreak/>
        <w:t>El director o la persona designada se esforzará, a través de la comunicación oral o escrita u otros medios, para incluir a los padres de los estudiantes identificados como en riesgo en la implementación y revisión de las intervenciones académicas y/o conductual para sus hijos, de acuerdo con la política </w:t>
      </w:r>
      <w:hyperlink r:id="rId4" w:history="1">
        <w:r w:rsidRPr="00114F53">
          <w:rPr>
            <w:rFonts w:ascii="Arial" w:eastAsia="Times New Roman" w:hAnsi="Arial" w:cs="Arial"/>
            <w:color w:val="0000FF"/>
            <w:sz w:val="24"/>
            <w:szCs w:val="24"/>
            <w:u w:val="single"/>
          </w:rPr>
          <w:t>3405</w:t>
        </w:r>
      </w:hyperlink>
      <w:r w:rsidRPr="00114F53">
        <w:rPr>
          <w:rFonts w:ascii="Arial" w:eastAsia="Times New Roman" w:hAnsi="Arial" w:cs="Arial"/>
          <w:color w:val="000000"/>
          <w:sz w:val="24"/>
          <w:szCs w:val="24"/>
        </w:rPr>
        <w:t> , Estudiantes en Riesgo de Fracaso Académico. </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El director o la persona designada deberá proporcionar a los padres de cada estudiante de jardín de infantes, primer o segundo grado una notificación por escrito del progreso de lectura del estudiante. El aviso se proporcionará tres veces al año, después de cada evaluación de referencia e incluirá: (1) los resultados de la evaluación, (2) si el niño puede no alcanzar el dominio de la lectura al final del tercer grado; y (3) actividades de apoyo instructivo para uso en el hogar.</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La Junta alienta al superintendente a trabajar con los líderes empresariales locales, incluidas las cámaras de comercio locales, para alentar a los empleadores a adoptar, como parte de sus políticas de personal establecidas, tiempo para que los empleados que son padres o tutores asistan a conferencias con los maestros de sus hijos. </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b/>
          <w:bCs/>
          <w:color w:val="000000"/>
          <w:sz w:val="24"/>
          <w:szCs w:val="24"/>
        </w:rPr>
        <w:t>B. Notificación a los padres</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Cada director o persona designada de una escuela de Título I deberá notificar a los padres sobre todos los derechos de los padres y otra información requerida con respecto a las escuelas y programas de Título I, de acuerdo con la ley federal. Los padres de estudiantes en escuelas de Título I recibirán una copia de la política de participación de padres y familias de Título I de todo el distrito (política </w:t>
      </w:r>
      <w:hyperlink r:id="rId5" w:history="1">
        <w:r w:rsidRPr="00114F53">
          <w:rPr>
            <w:rFonts w:ascii="Arial" w:eastAsia="Times New Roman" w:hAnsi="Arial" w:cs="Arial"/>
            <w:color w:val="0000FF"/>
            <w:sz w:val="24"/>
            <w:szCs w:val="24"/>
            <w:u w:val="single"/>
          </w:rPr>
          <w:t>1320/3560</w:t>
        </w:r>
      </w:hyperlink>
      <w:r w:rsidRPr="00114F53">
        <w:rPr>
          <w:rFonts w:ascii="Arial" w:eastAsia="Times New Roman" w:hAnsi="Arial" w:cs="Arial"/>
          <w:color w:val="000000"/>
          <w:sz w:val="24"/>
          <w:szCs w:val="24"/>
        </w:rPr>
        <w:t> ) y el plan de participación de padres de toda la escuela.</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Además, cada año, el director de cada edificio o su designado deberá notificar de manera efectiva a los padres sobre lo siguiente: </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 derechos de los padres relacionados con los expedientes de los estudiantes (consulte la política </w:t>
      </w:r>
      <w:hyperlink r:id="rId6" w:history="1">
        <w:r w:rsidRPr="00114F53">
          <w:rPr>
            <w:rFonts w:ascii="Arial" w:eastAsia="Times New Roman" w:hAnsi="Arial" w:cs="Arial"/>
            <w:color w:val="0000FF"/>
            <w:sz w:val="24"/>
            <w:szCs w:val="24"/>
            <w:u w:val="single"/>
          </w:rPr>
          <w:t>4700</w:t>
        </w:r>
      </w:hyperlink>
      <w:r w:rsidRPr="00114F53">
        <w:rPr>
          <w:rFonts w:ascii="Arial" w:eastAsia="Times New Roman" w:hAnsi="Arial" w:cs="Arial"/>
          <w:color w:val="000000"/>
          <w:sz w:val="24"/>
          <w:szCs w:val="24"/>
        </w:rPr>
        <w:t> , Expedientes de los estudiantes);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 derechos de los padres relacionados con las encuestas de estudiantes (consulte la política </w:t>
      </w:r>
      <w:hyperlink r:id="rId7" w:history="1">
        <w:r w:rsidRPr="00114F53">
          <w:rPr>
            <w:rFonts w:ascii="Arial" w:eastAsia="Times New Roman" w:hAnsi="Arial" w:cs="Arial"/>
            <w:color w:val="0000FF"/>
            <w:sz w:val="24"/>
            <w:szCs w:val="24"/>
            <w:u w:val="single"/>
          </w:rPr>
          <w:t>4720</w:t>
        </w:r>
      </w:hyperlink>
      <w:r w:rsidRPr="00114F53">
        <w:rPr>
          <w:rFonts w:ascii="Arial" w:eastAsia="Times New Roman" w:hAnsi="Arial" w:cs="Arial"/>
          <w:color w:val="000000"/>
          <w:sz w:val="24"/>
          <w:szCs w:val="24"/>
        </w:rPr>
        <w:t> , Encuestas de estudiantes);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3. las fechas aproximadas de cualquier examen o examen físico invasivo que no sea de emergencia que sea: (a) requerido como condición de asistencia, (b) administrado y programado con anticipación por la administración de la escuela, y (c) no necesario para proteger la salud y seguridad inmediatas de los estudiantes;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lastRenderedPageBreak/>
        <w:t>4. el horario de uso de pesticidas en la propiedad escolar y su derecho a solicitar una notificación del uso de pesticidas no programado (consulte la política </w:t>
      </w:r>
      <w:hyperlink r:id="rId8" w:history="1">
        <w:r w:rsidRPr="00114F53">
          <w:rPr>
            <w:rFonts w:ascii="Arial" w:eastAsia="Times New Roman" w:hAnsi="Arial" w:cs="Arial"/>
            <w:color w:val="0000FF"/>
            <w:sz w:val="24"/>
            <w:szCs w:val="24"/>
            <w:u w:val="single"/>
          </w:rPr>
          <w:t>9205</w:t>
        </w:r>
      </w:hyperlink>
      <w:r w:rsidRPr="00114F53">
        <w:rPr>
          <w:rFonts w:ascii="Arial" w:eastAsia="Times New Roman" w:hAnsi="Arial" w:cs="Arial"/>
          <w:color w:val="000000"/>
          <w:sz w:val="24"/>
          <w:szCs w:val="24"/>
        </w:rPr>
        <w:t> , Manejo de plagas);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5. políticas de comportamiento estudiantil, el Código de Conducta Estudiantil y normas y reglas escolares (consulte las políticas en la serie </w:t>
      </w:r>
      <w:hyperlink r:id="rId9" w:history="1">
        <w:r w:rsidRPr="00114F53">
          <w:rPr>
            <w:rFonts w:ascii="Arial" w:eastAsia="Times New Roman" w:hAnsi="Arial" w:cs="Arial"/>
            <w:color w:val="0000FF"/>
            <w:sz w:val="24"/>
            <w:szCs w:val="24"/>
            <w:u w:val="single"/>
          </w:rPr>
          <w:t>4300</w:t>
        </w:r>
      </w:hyperlink>
      <w:r w:rsidRPr="00114F53">
        <w:rPr>
          <w:rFonts w:ascii="Arial" w:eastAsia="Times New Roman" w:hAnsi="Arial" w:cs="Arial"/>
          <w:color w:val="000000"/>
          <w:sz w:val="24"/>
          <w:szCs w:val="24"/>
        </w:rPr>
        <w:t> );</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6. el uso permisible de reclusión y restricción en las escuelas (ver reglamento </w:t>
      </w:r>
      <w:hyperlink r:id="rId10" w:history="1">
        <w:r w:rsidRPr="00114F53">
          <w:rPr>
            <w:rFonts w:ascii="Arial" w:eastAsia="Times New Roman" w:hAnsi="Arial" w:cs="Arial"/>
            <w:color w:val="0000FF"/>
            <w:sz w:val="24"/>
            <w:szCs w:val="24"/>
            <w:u w:val="single"/>
          </w:rPr>
          <w:t>4302-R</w:t>
        </w:r>
      </w:hyperlink>
      <w:r w:rsidRPr="00114F53">
        <w:rPr>
          <w:rFonts w:ascii="Arial" w:eastAsia="Times New Roman" w:hAnsi="Arial" w:cs="Arial"/>
          <w:color w:val="000000"/>
          <w:sz w:val="24"/>
          <w:szCs w:val="24"/>
        </w:rPr>
        <w:t> , Reglas para el Uso de Reclusión y Restricción en las Escuelas);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7. política </w:t>
      </w:r>
      <w:hyperlink r:id="rId11" w:history="1">
        <w:r w:rsidRPr="00114F53">
          <w:rPr>
            <w:rFonts w:ascii="Arial" w:eastAsia="Times New Roman" w:hAnsi="Arial" w:cs="Arial"/>
            <w:color w:val="0000FF"/>
            <w:sz w:val="24"/>
            <w:szCs w:val="24"/>
            <w:u w:val="single"/>
          </w:rPr>
          <w:t>4329/7311</w:t>
        </w:r>
      </w:hyperlink>
      <w:r w:rsidRPr="00114F53">
        <w:rPr>
          <w:rFonts w:ascii="Arial" w:eastAsia="Times New Roman" w:hAnsi="Arial" w:cs="Arial"/>
          <w:color w:val="000000"/>
          <w:sz w:val="24"/>
          <w:szCs w:val="24"/>
        </w:rPr>
        <w:t> , Comportamiento de intimidación y acoso prohibido;</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8. política </w:t>
      </w:r>
      <w:hyperlink r:id="rId12" w:history="1">
        <w:r w:rsidRPr="00114F53">
          <w:rPr>
            <w:rFonts w:ascii="Arial" w:eastAsia="Times New Roman" w:hAnsi="Arial" w:cs="Arial"/>
            <w:color w:val="0000FF"/>
            <w:sz w:val="24"/>
            <w:szCs w:val="24"/>
            <w:u w:val="single"/>
          </w:rPr>
          <w:t>1740/4010</w:t>
        </w:r>
      </w:hyperlink>
      <w:r w:rsidRPr="00114F53">
        <w:rPr>
          <w:rFonts w:ascii="Arial" w:eastAsia="Times New Roman" w:hAnsi="Arial" w:cs="Arial"/>
          <w:color w:val="000000"/>
          <w:sz w:val="24"/>
          <w:szCs w:val="24"/>
        </w:rPr>
        <w:t> , Procedimiento de quejas de padres y estudiantes;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9. las fechas de los exámenes exigidos por todo el distrito y el estado que los estudiantes deberán tomar durante ese año escolar, cómo se utilizarán los resultados de los exámenes y si cada examen es requerido por la Junta de Educación del Estado o por la junta local;</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10. las prácticas de calificación que se seguirán en la escuela y, para los padres de estudiantes de secundaria, el método para calcular los promedios de calificaciones que se usarán para determinar el rango de la clase (consulte las políticas </w:t>
      </w:r>
      <w:hyperlink r:id="rId13" w:history="1">
        <w:r w:rsidRPr="00114F53">
          <w:rPr>
            <w:rFonts w:ascii="Arial" w:eastAsia="Times New Roman" w:hAnsi="Arial" w:cs="Arial"/>
            <w:color w:val="0000FF"/>
            <w:sz w:val="24"/>
            <w:szCs w:val="24"/>
            <w:u w:val="single"/>
          </w:rPr>
          <w:t>3400</w:t>
        </w:r>
      </w:hyperlink>
      <w:r w:rsidRPr="00114F53">
        <w:rPr>
          <w:rFonts w:ascii="Arial" w:eastAsia="Times New Roman" w:hAnsi="Arial" w:cs="Arial"/>
          <w:color w:val="000000"/>
          <w:sz w:val="24"/>
          <w:szCs w:val="24"/>
        </w:rPr>
        <w:t> , Evaluación del progreso del estudiante y </w:t>
      </w:r>
      <w:hyperlink r:id="rId14" w:history="1">
        <w:r w:rsidRPr="00114F53">
          <w:rPr>
            <w:rFonts w:ascii="Arial" w:eastAsia="Times New Roman" w:hAnsi="Arial" w:cs="Arial"/>
            <w:color w:val="0000FF"/>
            <w:sz w:val="24"/>
            <w:szCs w:val="24"/>
            <w:u w:val="single"/>
          </w:rPr>
          <w:t>3450</w:t>
        </w:r>
      </w:hyperlink>
      <w:r w:rsidRPr="00114F53">
        <w:rPr>
          <w:rFonts w:ascii="Arial" w:eastAsia="Times New Roman" w:hAnsi="Arial" w:cs="Arial"/>
          <w:color w:val="000000"/>
          <w:sz w:val="24"/>
          <w:szCs w:val="24"/>
        </w:rPr>
        <w:t> , Clasificaciones de clase );</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11. oportunidades disponibles y el proceso de inscripción para que los estudiantes tomen cursos avanzados e información que explique el valor de tomar cursos avanzados;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12. si corresponde, que su hijo recibirá oportunidades de aprendizaje avanzado en matemáticas o será colocado en un curso de matemáticas avanzadas;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13. una explicación clara y concisa del sistema de evaluación y rendición de cuentas de Carolina del Norte que incluye toda la información requerida por la ley federal;</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14. un informe que contenga información sobre el sistema escolar y cada escuela, incluidos, entre otros:</w:t>
      </w:r>
    </w:p>
    <w:p w:rsidR="00114F53" w:rsidRPr="00114F53" w:rsidRDefault="00114F53" w:rsidP="00114F53">
      <w:pPr>
        <w:spacing w:before="100" w:beforeAutospacing="1" w:after="100" w:afterAutospacing="1" w:line="240" w:lineRule="auto"/>
        <w:ind w:left="1800"/>
        <w:rPr>
          <w:rFonts w:ascii="Arial" w:eastAsia="Times New Roman" w:hAnsi="Arial" w:cs="Arial"/>
          <w:color w:val="000000"/>
          <w:sz w:val="24"/>
          <w:szCs w:val="24"/>
        </w:rPr>
      </w:pPr>
      <w:r w:rsidRPr="00114F53">
        <w:rPr>
          <w:rFonts w:ascii="Arial" w:eastAsia="Times New Roman" w:hAnsi="Arial" w:cs="Arial"/>
          <w:color w:val="000000"/>
          <w:sz w:val="24"/>
          <w:szCs w:val="24"/>
        </w:rPr>
        <w:t xml:space="preserve">una. la siguiente información, tanto en conjunto como desagregada por categoría: rendimiento estudiantil, índices de graduación, desempeño en otros indicadores de calidad escolar y/o éxito estudiantil, el progreso de los estudiantes hacia el cumplimiento de las </w:t>
      </w:r>
      <w:r w:rsidRPr="00114F53">
        <w:rPr>
          <w:rFonts w:ascii="Arial" w:eastAsia="Times New Roman" w:hAnsi="Arial" w:cs="Arial"/>
          <w:color w:val="000000"/>
          <w:sz w:val="24"/>
          <w:szCs w:val="24"/>
        </w:rPr>
        <w:lastRenderedPageBreak/>
        <w:t>metas a largo plazo establecidas por el estado, desempeño estudiantil en medidas de clima escolar y seguridad, y, si está disponible, la tasa de matriculación en educación post</w:t>
      </w:r>
      <w:r w:rsidR="00496EA5">
        <w:rPr>
          <w:rFonts w:ascii="Arial" w:eastAsia="Times New Roman" w:hAnsi="Arial" w:cs="Arial"/>
          <w:color w:val="000000"/>
          <w:sz w:val="24"/>
          <w:szCs w:val="24"/>
        </w:rPr>
        <w:t xml:space="preserve"> </w:t>
      </w:r>
      <w:r w:rsidRPr="00114F53">
        <w:rPr>
          <w:rFonts w:ascii="Arial" w:eastAsia="Times New Roman" w:hAnsi="Arial" w:cs="Arial"/>
          <w:color w:val="000000"/>
          <w:sz w:val="24"/>
          <w:szCs w:val="24"/>
        </w:rPr>
        <w:t>secundari</w:t>
      </w:r>
      <w:r w:rsidR="00496EA5">
        <w:rPr>
          <w:rFonts w:ascii="Arial" w:eastAsia="Times New Roman" w:hAnsi="Arial" w:cs="Arial"/>
          <w:color w:val="000000"/>
          <w:sz w:val="24"/>
          <w:szCs w:val="24"/>
        </w:rPr>
        <w:t>o</w:t>
      </w:r>
      <w:r w:rsidRPr="00114F53">
        <w:rPr>
          <w:rFonts w:ascii="Arial" w:eastAsia="Times New Roman" w:hAnsi="Arial" w:cs="Arial"/>
          <w:color w:val="000000"/>
          <w:sz w:val="24"/>
          <w:szCs w:val="24"/>
        </w:rPr>
        <w:t>;</w:t>
      </w:r>
    </w:p>
    <w:p w:rsidR="00114F53" w:rsidRPr="00114F53" w:rsidRDefault="00114F53" w:rsidP="00114F53">
      <w:pPr>
        <w:spacing w:before="100" w:beforeAutospacing="1" w:after="100" w:afterAutospacing="1" w:line="240" w:lineRule="auto"/>
        <w:ind w:left="1800"/>
        <w:rPr>
          <w:rFonts w:ascii="Arial" w:eastAsia="Times New Roman" w:hAnsi="Arial" w:cs="Arial"/>
          <w:color w:val="000000"/>
          <w:sz w:val="24"/>
          <w:szCs w:val="24"/>
        </w:rPr>
      </w:pPr>
      <w:r w:rsidRPr="00114F53">
        <w:rPr>
          <w:rFonts w:ascii="Arial" w:eastAsia="Times New Roman" w:hAnsi="Arial" w:cs="Arial"/>
          <w:color w:val="000000"/>
          <w:sz w:val="24"/>
          <w:szCs w:val="24"/>
        </w:rPr>
        <w:t>B. el desempeño del sistema escolar en las evaluaciones académicas en comparación con el estado en su conjunto y el desempeño de cada escuela en las evaluaciones académicas en comparación con el estado y el sistema escolar en su conjunto;</w:t>
      </w:r>
    </w:p>
    <w:p w:rsidR="00114F53" w:rsidRPr="00114F53" w:rsidRDefault="00114F53" w:rsidP="00114F53">
      <w:pPr>
        <w:spacing w:before="100" w:beforeAutospacing="1" w:after="100" w:afterAutospacing="1" w:line="240" w:lineRule="auto"/>
        <w:ind w:left="1800"/>
        <w:rPr>
          <w:rFonts w:ascii="Arial" w:eastAsia="Times New Roman" w:hAnsi="Arial" w:cs="Arial"/>
          <w:color w:val="000000"/>
          <w:sz w:val="24"/>
          <w:szCs w:val="24"/>
        </w:rPr>
      </w:pPr>
      <w:r w:rsidRPr="00114F53">
        <w:rPr>
          <w:rFonts w:ascii="Arial" w:eastAsia="Times New Roman" w:hAnsi="Arial" w:cs="Arial"/>
          <w:color w:val="000000"/>
          <w:sz w:val="24"/>
          <w:szCs w:val="24"/>
        </w:rPr>
        <w:t>C. el porcentaje y número de estudiantes que son:</w:t>
      </w:r>
    </w:p>
    <w:p w:rsidR="00114F53" w:rsidRPr="00114F53" w:rsidRDefault="00114F53" w:rsidP="00114F53">
      <w:pPr>
        <w:spacing w:before="100" w:beforeAutospacing="1" w:after="100" w:afterAutospacing="1" w:line="240" w:lineRule="auto"/>
        <w:ind w:left="2400"/>
        <w:rPr>
          <w:rFonts w:ascii="Arial" w:eastAsia="Times New Roman" w:hAnsi="Arial" w:cs="Arial"/>
          <w:color w:val="000000"/>
          <w:sz w:val="24"/>
          <w:szCs w:val="24"/>
        </w:rPr>
      </w:pPr>
      <w:r w:rsidRPr="00114F53">
        <w:rPr>
          <w:rFonts w:ascii="Arial" w:eastAsia="Times New Roman" w:hAnsi="Arial" w:cs="Arial"/>
          <w:color w:val="000000"/>
          <w:sz w:val="24"/>
          <w:szCs w:val="24"/>
        </w:rPr>
        <w:t>I. juzgado,</w:t>
      </w:r>
    </w:p>
    <w:p w:rsidR="00114F53" w:rsidRPr="00114F53" w:rsidRDefault="00114F53" w:rsidP="00114F53">
      <w:pPr>
        <w:spacing w:before="100" w:beforeAutospacing="1" w:after="100" w:afterAutospacing="1" w:line="240" w:lineRule="auto"/>
        <w:ind w:left="2400"/>
        <w:rPr>
          <w:rFonts w:ascii="Arial" w:eastAsia="Times New Roman" w:hAnsi="Arial" w:cs="Arial"/>
          <w:color w:val="000000"/>
          <w:sz w:val="24"/>
          <w:szCs w:val="24"/>
        </w:rPr>
      </w:pPr>
      <w:r w:rsidRPr="00114F53">
        <w:rPr>
          <w:rFonts w:ascii="Arial" w:eastAsia="Times New Roman" w:hAnsi="Arial" w:cs="Arial"/>
          <w:color w:val="000000"/>
          <w:sz w:val="24"/>
          <w:szCs w:val="24"/>
        </w:rPr>
        <w:t>ii. evaluado usando evaluaciones alternativas</w:t>
      </w:r>
    </w:p>
    <w:p w:rsidR="00114F53" w:rsidRPr="00114F53" w:rsidRDefault="00114F53" w:rsidP="00114F53">
      <w:pPr>
        <w:spacing w:before="100" w:beforeAutospacing="1" w:after="100" w:afterAutospacing="1" w:line="240" w:lineRule="auto"/>
        <w:ind w:left="2400"/>
        <w:rPr>
          <w:rFonts w:ascii="Arial" w:eastAsia="Times New Roman" w:hAnsi="Arial" w:cs="Arial"/>
          <w:color w:val="000000"/>
          <w:sz w:val="24"/>
          <w:szCs w:val="24"/>
        </w:rPr>
      </w:pPr>
      <w:r w:rsidRPr="00114F53">
        <w:rPr>
          <w:rFonts w:ascii="Arial" w:eastAsia="Times New Roman" w:hAnsi="Arial" w:cs="Arial"/>
          <w:color w:val="000000"/>
          <w:sz w:val="24"/>
          <w:szCs w:val="24"/>
        </w:rPr>
        <w:t>iii. involucrados en programas preescolares y de cursos acelerados, y</w:t>
      </w:r>
    </w:p>
    <w:p w:rsidR="00114F53" w:rsidRPr="00114F53" w:rsidRDefault="00114F53" w:rsidP="00114F53">
      <w:pPr>
        <w:spacing w:before="100" w:beforeAutospacing="1" w:after="100" w:afterAutospacing="1" w:line="240" w:lineRule="auto"/>
        <w:ind w:left="2400"/>
        <w:rPr>
          <w:rFonts w:ascii="Arial" w:eastAsia="Times New Roman" w:hAnsi="Arial" w:cs="Arial"/>
          <w:color w:val="000000"/>
          <w:sz w:val="24"/>
          <w:szCs w:val="24"/>
        </w:rPr>
      </w:pPr>
      <w:r w:rsidRPr="00114F53">
        <w:rPr>
          <w:rFonts w:ascii="Arial" w:eastAsia="Times New Roman" w:hAnsi="Arial" w:cs="Arial"/>
          <w:color w:val="000000"/>
          <w:sz w:val="24"/>
          <w:szCs w:val="24"/>
        </w:rPr>
        <w:t>IV. Estudiantes de inglés que logran el dominio;</w:t>
      </w:r>
    </w:p>
    <w:p w:rsidR="00114F53" w:rsidRPr="00114F53" w:rsidRDefault="00114F53" w:rsidP="00114F53">
      <w:pPr>
        <w:spacing w:before="100" w:beforeAutospacing="1" w:after="100" w:afterAutospacing="1" w:line="240" w:lineRule="auto"/>
        <w:ind w:left="1800"/>
        <w:rPr>
          <w:rFonts w:ascii="Arial" w:eastAsia="Times New Roman" w:hAnsi="Arial" w:cs="Arial"/>
          <w:color w:val="000000"/>
          <w:sz w:val="24"/>
          <w:szCs w:val="24"/>
        </w:rPr>
      </w:pPr>
      <w:r w:rsidRPr="00114F53">
        <w:rPr>
          <w:rFonts w:ascii="Arial" w:eastAsia="Times New Roman" w:hAnsi="Arial" w:cs="Arial"/>
          <w:color w:val="000000"/>
          <w:sz w:val="24"/>
          <w:szCs w:val="24"/>
        </w:rPr>
        <w:t>D. los gastos por alumno de fondos federales, estatales y locales; y</w:t>
      </w:r>
    </w:p>
    <w:p w:rsidR="00114F53" w:rsidRPr="00114F53" w:rsidRDefault="00114F53" w:rsidP="00114F53">
      <w:pPr>
        <w:spacing w:before="100" w:beforeAutospacing="1" w:after="100" w:afterAutospacing="1" w:line="240" w:lineRule="auto"/>
        <w:ind w:left="1800"/>
        <w:rPr>
          <w:rFonts w:ascii="Arial" w:eastAsia="Times New Roman" w:hAnsi="Arial" w:cs="Arial"/>
          <w:color w:val="000000"/>
          <w:sz w:val="24"/>
          <w:szCs w:val="24"/>
        </w:rPr>
      </w:pPr>
      <w:r w:rsidRPr="00114F53">
        <w:rPr>
          <w:rFonts w:ascii="Arial" w:eastAsia="Times New Roman" w:hAnsi="Arial" w:cs="Arial"/>
          <w:color w:val="000000"/>
          <w:sz w:val="24"/>
          <w:szCs w:val="24"/>
        </w:rPr>
        <w:t>mi. calificaciones del maestro</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15. la calificación obtenida por la escuela en el boletín de calificaciones anual más reciente emitido por la Junta de Educación del Estado si la calificación fue D o F;</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16. servicios de apoyo disponibles para los estudiantes, incluida la orientación, el asesoramiento y los servicios de salud (consulte la política </w:t>
      </w:r>
      <w:hyperlink r:id="rId15" w:history="1">
        <w:r w:rsidRPr="00114F53">
          <w:rPr>
            <w:rFonts w:ascii="Arial" w:eastAsia="Times New Roman" w:hAnsi="Arial" w:cs="Arial"/>
            <w:color w:val="0000FF"/>
            <w:sz w:val="24"/>
            <w:szCs w:val="24"/>
            <w:u w:val="single"/>
          </w:rPr>
          <w:t>3610</w:t>
        </w:r>
      </w:hyperlink>
      <w:r w:rsidRPr="00114F53">
        <w:rPr>
          <w:rFonts w:ascii="Arial" w:eastAsia="Times New Roman" w:hAnsi="Arial" w:cs="Arial"/>
          <w:color w:val="000000"/>
          <w:sz w:val="24"/>
          <w:szCs w:val="24"/>
        </w:rPr>
        <w:t> , Programa de asesoramiento);</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17. información sobre la meningitis meningocócica y la influenza, incluidas las causas, los síntomas y las vacunas, cómo se propagan las enfermedades y los lugares donde los padres y tutores pueden obtener información adicional y vacunas para sus hijos;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18. para los padres de estudiantes en los grados 5 a 12, información sobre el cáncer de cuello uterino, la displasia cervical y el virus del papiloma humano, incluidas las causas y los síntomas de estas enfermedades, cómo se transmiten, cómo se pueden prevenir mediante la vacunación, incluidos los beneficios y posibles efectos secundarios de la vacunación y lugares donde los padres y tutores pueden obtener información adicional y vacunas para sus hijos;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lastRenderedPageBreak/>
        <w:t>19. cómo comunicarse con los funcionarios escolares en situaciones de emergencia fuera del horario escolar;</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20. información y un formulario de solicitud para comidas gratis oa precio reducido y/o leche gratis (consulte la política </w:t>
      </w:r>
      <w:hyperlink r:id="rId16" w:history="1">
        <w:r w:rsidRPr="00114F53">
          <w:rPr>
            <w:rFonts w:ascii="Arial" w:eastAsia="Times New Roman" w:hAnsi="Arial" w:cs="Arial"/>
            <w:color w:val="0000FF"/>
            <w:sz w:val="24"/>
            <w:szCs w:val="24"/>
            <w:u w:val="single"/>
          </w:rPr>
          <w:t>6225</w:t>
        </w:r>
      </w:hyperlink>
      <w:r w:rsidRPr="00114F53">
        <w:rPr>
          <w:rFonts w:ascii="Arial" w:eastAsia="Times New Roman" w:hAnsi="Arial" w:cs="Arial"/>
          <w:color w:val="000000"/>
          <w:sz w:val="24"/>
          <w:szCs w:val="24"/>
        </w:rPr>
        <w:t> , Servicios de comidas gratis oa precio reducido);</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21. para los padres de niños con discapacidades, garantías procesales (consulte también la política </w:t>
      </w:r>
      <w:hyperlink r:id="rId17" w:history="1">
        <w:r w:rsidRPr="00114F53">
          <w:rPr>
            <w:rFonts w:ascii="Arial" w:eastAsia="Times New Roman" w:hAnsi="Arial" w:cs="Arial"/>
            <w:color w:val="0000FF"/>
            <w:sz w:val="24"/>
            <w:szCs w:val="24"/>
            <w:u w:val="single"/>
          </w:rPr>
          <w:t>1730/4022/7231</w:t>
        </w:r>
      </w:hyperlink>
      <w:r w:rsidRPr="00114F53">
        <w:rPr>
          <w:rFonts w:ascii="Arial" w:eastAsia="Times New Roman" w:hAnsi="Arial" w:cs="Arial"/>
          <w:color w:val="000000"/>
          <w:sz w:val="24"/>
          <w:szCs w:val="24"/>
        </w:rPr>
        <w:t> , No discriminación por motivos de discapacidad); </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22. información sobre el programa de desayuno escolar;</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23. información sobre la disponibilidad y la ubicación de las comidas gratuitas del programa de servicio de alimentos de verano para los estudiantes cuando la escuela no está en sesión;</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24. información sobre la disponibilidad del plan de gestión del asbesto y las inspecciones, reinspecciones, acciones de respuesta y acciones posteriores a la respuesta planificadas o en curso, incluidas las actividades periódicas de reinspección y vigilancia;</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25. derechos educativos de los estudiantes sin hogar (consulte la política </w:t>
      </w:r>
      <w:hyperlink r:id="rId18" w:history="1">
        <w:r w:rsidRPr="00114F53">
          <w:rPr>
            <w:rFonts w:ascii="Arial" w:eastAsia="Times New Roman" w:hAnsi="Arial" w:cs="Arial"/>
            <w:color w:val="0000FF"/>
            <w:sz w:val="24"/>
            <w:szCs w:val="24"/>
            <w:u w:val="single"/>
          </w:rPr>
          <w:t>4125</w:t>
        </w:r>
      </w:hyperlink>
      <w:r w:rsidRPr="00114F53">
        <w:rPr>
          <w:rFonts w:ascii="Arial" w:eastAsia="Times New Roman" w:hAnsi="Arial" w:cs="Arial"/>
          <w:color w:val="000000"/>
          <w:sz w:val="24"/>
          <w:szCs w:val="24"/>
        </w:rPr>
        <w:t> , Estudiantes sin hogar);</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26. el contenido y la implementación de la política de bienestar escolar local (consulte la política </w:t>
      </w:r>
      <w:hyperlink r:id="rId19" w:history="1">
        <w:r w:rsidRPr="00114F53">
          <w:rPr>
            <w:rFonts w:ascii="Arial" w:eastAsia="Times New Roman" w:hAnsi="Arial" w:cs="Arial"/>
            <w:color w:val="0000FF"/>
            <w:sz w:val="24"/>
            <w:szCs w:val="24"/>
            <w:u w:val="single"/>
          </w:rPr>
          <w:t>6140</w:t>
        </w:r>
      </w:hyperlink>
      <w:r w:rsidRPr="00114F53">
        <w:rPr>
          <w:rFonts w:ascii="Arial" w:eastAsia="Times New Roman" w:hAnsi="Arial" w:cs="Arial"/>
          <w:color w:val="000000"/>
          <w:sz w:val="24"/>
          <w:szCs w:val="24"/>
        </w:rPr>
        <w:t> , Bienestar estudiantil);</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27. su derecho a tomar cuatro horas de licencia sin goce de sueldo de sus trabajos cada año para ser voluntario en la escuela de su hijo como se establece en </w:t>
      </w:r>
      <w:hyperlink r:id="rId20" w:tgtFrame="_blank" w:history="1">
        <w:r w:rsidRPr="00114F53">
          <w:rPr>
            <w:rFonts w:ascii="Arial" w:eastAsia="Times New Roman" w:hAnsi="Arial" w:cs="Arial"/>
            <w:color w:val="0000FF"/>
            <w:sz w:val="24"/>
            <w:szCs w:val="24"/>
            <w:u w:val="single"/>
          </w:rPr>
          <w:t>GS 95-28.3</w:t>
        </w:r>
      </w:hyperlink>
      <w:r w:rsidRPr="00114F53">
        <w:rPr>
          <w:rFonts w:ascii="Arial" w:eastAsia="Times New Roman" w:hAnsi="Arial" w:cs="Arial"/>
          <w:color w:val="000000"/>
          <w:sz w:val="24"/>
          <w:szCs w:val="24"/>
        </w:rPr>
        <w:t> (consulte la política </w:t>
      </w:r>
      <w:hyperlink r:id="rId21" w:history="1">
        <w:r w:rsidRPr="00114F53">
          <w:rPr>
            <w:rFonts w:ascii="Arial" w:eastAsia="Times New Roman" w:hAnsi="Arial" w:cs="Arial"/>
            <w:color w:val="0000FF"/>
            <w:sz w:val="24"/>
            <w:szCs w:val="24"/>
            <w:u w:val="single"/>
          </w:rPr>
          <w:t>5015</w:t>
        </w:r>
      </w:hyperlink>
      <w:r w:rsidRPr="00114F53">
        <w:rPr>
          <w:rFonts w:ascii="Arial" w:eastAsia="Times New Roman" w:hAnsi="Arial" w:cs="Arial"/>
          <w:color w:val="000000"/>
          <w:sz w:val="24"/>
          <w:szCs w:val="24"/>
        </w:rPr>
        <w:t> , Voluntarios Escolares);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28. que el distrito escolar no discrimina por motivos de raza, color, origen nacional, sexo, discapacidad o edad, y que el distrito escolar proporciona procesos para resolver quejas de discriminación y acoso (consulte las políticas </w:t>
      </w:r>
      <w:hyperlink r:id="rId22" w:history="1">
        <w:r w:rsidRPr="00114F53">
          <w:rPr>
            <w:rFonts w:ascii="Arial" w:eastAsia="Times New Roman" w:hAnsi="Arial" w:cs="Arial"/>
            <w:color w:val="0000FF"/>
            <w:sz w:val="24"/>
            <w:szCs w:val="24"/>
            <w:u w:val="single"/>
          </w:rPr>
          <w:t>1710/4020/7230</w:t>
        </w:r>
      </w:hyperlink>
      <w:r w:rsidRPr="00114F53">
        <w:rPr>
          <w:rFonts w:ascii="Arial" w:eastAsia="Times New Roman" w:hAnsi="Arial" w:cs="Arial"/>
          <w:color w:val="000000"/>
          <w:sz w:val="24"/>
          <w:szCs w:val="24"/>
        </w:rPr>
        <w:t> , Discriminación y Acoso Prohibido por la Ley Federal, </w:t>
      </w:r>
      <w:hyperlink r:id="rId23" w:history="1">
        <w:r w:rsidRPr="00114F53">
          <w:rPr>
            <w:rFonts w:ascii="Arial" w:eastAsia="Times New Roman" w:hAnsi="Arial" w:cs="Arial"/>
            <w:color w:val="0000FF"/>
            <w:sz w:val="24"/>
            <w:szCs w:val="24"/>
            <w:u w:val="single"/>
          </w:rPr>
          <w:t>1720/4030/7235</w:t>
        </w:r>
      </w:hyperlink>
      <w:r w:rsidRPr="00114F53">
        <w:rPr>
          <w:rFonts w:ascii="Arial" w:eastAsia="Times New Roman" w:hAnsi="Arial" w:cs="Arial"/>
          <w:color w:val="000000"/>
          <w:sz w:val="24"/>
          <w:szCs w:val="24"/>
        </w:rPr>
        <w:t> , Título IX No Discriminación en Base al Sexo, y </w:t>
      </w:r>
      <w:hyperlink r:id="rId24" w:history="1">
        <w:r w:rsidRPr="00114F53">
          <w:rPr>
            <w:rFonts w:ascii="Arial" w:eastAsia="Times New Roman" w:hAnsi="Arial" w:cs="Arial"/>
            <w:color w:val="0000FF"/>
            <w:sz w:val="24"/>
            <w:szCs w:val="24"/>
            <w:u w:val="single"/>
          </w:rPr>
          <w:t>1730/4022/7231</w:t>
        </w:r>
      </w:hyperlink>
      <w:r w:rsidRPr="00114F53">
        <w:rPr>
          <w:rFonts w:ascii="Arial" w:eastAsia="Times New Roman" w:hAnsi="Arial" w:cs="Arial"/>
          <w:color w:val="000000"/>
          <w:sz w:val="24"/>
          <w:szCs w:val="24"/>
        </w:rPr>
        <w:t> , No Discriminación en Base a Discapacidades);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29. que el distrito escolar proporcione igualdad de acceso a sus instalaciones, programas y actividades a los Boy Scouts y otros grupos juveniles designados (consulte la política </w:t>
      </w:r>
      <w:hyperlink r:id="rId25" w:history="1">
        <w:r w:rsidRPr="00114F53">
          <w:rPr>
            <w:rFonts w:ascii="Arial" w:eastAsia="Times New Roman" w:hAnsi="Arial" w:cs="Arial"/>
            <w:color w:val="0000FF"/>
            <w:sz w:val="24"/>
            <w:szCs w:val="24"/>
            <w:u w:val="single"/>
          </w:rPr>
          <w:t>1710/4020/7230</w:t>
        </w:r>
      </w:hyperlink>
      <w:r w:rsidRPr="00114F53">
        <w:rPr>
          <w:rFonts w:ascii="Arial" w:eastAsia="Times New Roman" w:hAnsi="Arial" w:cs="Arial"/>
          <w:color w:val="000000"/>
          <w:sz w:val="24"/>
          <w:szCs w:val="24"/>
        </w:rPr>
        <w:t> , Discriminación y acoso prohibidos por la ley federal); y</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30. la disponibilidad y el proceso para solicitar una exención o reducción de las cuotas estudiantiles (consulte la política </w:t>
      </w:r>
      <w:hyperlink r:id="rId26" w:history="1">
        <w:r w:rsidRPr="00114F53">
          <w:rPr>
            <w:rFonts w:ascii="Arial" w:eastAsia="Times New Roman" w:hAnsi="Arial" w:cs="Arial"/>
            <w:color w:val="0000FF"/>
            <w:sz w:val="24"/>
            <w:szCs w:val="24"/>
            <w:u w:val="single"/>
          </w:rPr>
          <w:t>4600</w:t>
        </w:r>
      </w:hyperlink>
      <w:r w:rsidRPr="00114F53">
        <w:rPr>
          <w:rFonts w:ascii="Arial" w:eastAsia="Times New Roman" w:hAnsi="Arial" w:cs="Arial"/>
          <w:color w:val="000000"/>
          <w:sz w:val="24"/>
          <w:szCs w:val="24"/>
        </w:rPr>
        <w:t> , Cuotas estudiantiles).</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b/>
          <w:bCs/>
          <w:color w:val="000000"/>
          <w:sz w:val="24"/>
          <w:szCs w:val="24"/>
        </w:rPr>
        <w:lastRenderedPageBreak/>
        <w:t>C. Oportunidades para retener el consentimiento/optar por no participar</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Como parte de la notificación anual descrita anteriormente, se notificará efectivamente a los padres que pueden optar por no participar en cualquiera de los siguientes;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 divulgación de la información del directorio de estudiantes sobre su hijo para fines escolares o para organizaciones externas (consulte la política </w:t>
      </w:r>
      <w:hyperlink r:id="rId27" w:history="1">
        <w:r w:rsidRPr="00114F53">
          <w:rPr>
            <w:rFonts w:ascii="Arial" w:eastAsia="Times New Roman" w:hAnsi="Arial" w:cs="Arial"/>
            <w:color w:val="0000FF"/>
            <w:sz w:val="24"/>
            <w:szCs w:val="24"/>
            <w:u w:val="single"/>
          </w:rPr>
          <w:t>4700</w:t>
        </w:r>
      </w:hyperlink>
      <w:r w:rsidRPr="00114F53">
        <w:rPr>
          <w:rFonts w:ascii="Arial" w:eastAsia="Times New Roman" w:hAnsi="Arial" w:cs="Arial"/>
          <w:color w:val="000000"/>
          <w:sz w:val="24"/>
          <w:szCs w:val="24"/>
        </w:rPr>
        <w:t> , Expedientes estudiantiles);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 divulgar el nombre, la dirección y la lista de teléfonos de su hijo a reclutadores militares o instituciones de educación superior (consulte la política </w:t>
      </w:r>
      <w:hyperlink r:id="rId28" w:history="1">
        <w:r w:rsidRPr="00114F53">
          <w:rPr>
            <w:rFonts w:ascii="Arial" w:eastAsia="Times New Roman" w:hAnsi="Arial" w:cs="Arial"/>
            <w:color w:val="0000FF"/>
            <w:sz w:val="24"/>
            <w:szCs w:val="24"/>
            <w:u w:val="single"/>
          </w:rPr>
          <w:t>4700</w:t>
        </w:r>
      </w:hyperlink>
      <w:r w:rsidRPr="00114F53">
        <w:rPr>
          <w:rFonts w:ascii="Arial" w:eastAsia="Times New Roman" w:hAnsi="Arial" w:cs="Arial"/>
          <w:color w:val="000000"/>
          <w:sz w:val="24"/>
          <w:szCs w:val="24"/>
        </w:rPr>
        <w:t> , Expedientes estudiantiles);</w:t>
      </w:r>
      <w:bookmarkStart w:id="0" w:name="_GoBack"/>
      <w:bookmarkEnd w:id="0"/>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3. la participación de sus hijos en planes de estudios relacionados con (a) la prevención de enfermedades de transmisión sexual, incluido el VIH/SIDA; (b) evitar el embarazo fuera del matrimonio; o (c) educación sobre salud y seguridad reproductiva, según lo dispuesto en la política </w:t>
      </w:r>
      <w:hyperlink r:id="rId29" w:history="1">
        <w:r w:rsidRPr="00114F53">
          <w:rPr>
            <w:rFonts w:ascii="Arial" w:eastAsia="Times New Roman" w:hAnsi="Arial" w:cs="Arial"/>
            <w:color w:val="0000FF"/>
            <w:sz w:val="24"/>
            <w:szCs w:val="24"/>
            <w:u w:val="single"/>
          </w:rPr>
          <w:t>3540</w:t>
        </w:r>
      </w:hyperlink>
      <w:r w:rsidRPr="00114F53">
        <w:rPr>
          <w:rFonts w:ascii="Arial" w:eastAsia="Times New Roman" w:hAnsi="Arial" w:cs="Arial"/>
          <w:color w:val="000000"/>
          <w:sz w:val="24"/>
          <w:szCs w:val="24"/>
        </w:rPr>
        <w:t> , Programa Integral de Educación para la Salud. Una copia de los materiales que se utilizarán en este plan de estudios estará disponible en el centro de medios de la escuela durante el año escolar y en otros momentos en que el centro de medios esté disponible para el público. Para cumplir con los períodos de revisión requeridos por la ley, los materiales también pueden estar disponibles para su revisión en la oficina central;</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4. la participación de su hijo en orientación académica o profesional o servicios de asesoramiento personal o social de naturaleza genérica ofrecidos a grupos de estudiantes (p. ej., estrategias de relaciones con compañeros ofrecidas a todos los estudiantes de sexto grado). (Sin embargo, la notificación y el permiso de los padres no son necesarios para: (a) la orientación y el asesoramiento académico, profesional, personal o social de corta duración y la intervención en crisis que se necesita para mantener el orden, la disciplina o un entorno de aprendizaje productivo; (b) estudiante- asesoramiento individual o grupal iniciado dirigido a las preocupaciones o necesidades específicas de un estudiante, y (c) asesoramiento si se sospecha abuso o negligencia infantil (consulte las políticas </w:t>
      </w:r>
      <w:hyperlink r:id="rId30" w:history="1">
        <w:r w:rsidRPr="00114F53">
          <w:rPr>
            <w:rFonts w:ascii="Arial" w:eastAsia="Times New Roman" w:hAnsi="Arial" w:cs="Arial"/>
            <w:color w:val="0000FF"/>
            <w:sz w:val="24"/>
            <w:szCs w:val="24"/>
            <w:u w:val="single"/>
          </w:rPr>
          <w:t>3610</w:t>
        </w:r>
      </w:hyperlink>
      <w:r w:rsidRPr="00114F53">
        <w:rPr>
          <w:rFonts w:ascii="Arial" w:eastAsia="Times New Roman" w:hAnsi="Arial" w:cs="Arial"/>
          <w:color w:val="000000"/>
          <w:sz w:val="24"/>
          <w:szCs w:val="24"/>
        </w:rPr>
        <w:t> , Programa de asesoramiento y </w:t>
      </w:r>
      <w:hyperlink r:id="rId31" w:history="1">
        <w:r w:rsidRPr="00114F53">
          <w:rPr>
            <w:rFonts w:ascii="Arial" w:eastAsia="Times New Roman" w:hAnsi="Arial" w:cs="Arial"/>
            <w:color w:val="0000FF"/>
            <w:sz w:val="24"/>
            <w:szCs w:val="24"/>
            <w:u w:val="single"/>
          </w:rPr>
          <w:t>4240/7312</w:t>
        </w:r>
      </w:hyperlink>
      <w:r w:rsidRPr="00114F53">
        <w:rPr>
          <w:rFonts w:ascii="Arial" w:eastAsia="Times New Roman" w:hAnsi="Arial" w:cs="Arial"/>
          <w:color w:val="000000"/>
          <w:sz w:val="24"/>
          <w:szCs w:val="24"/>
        </w:rPr>
        <w:t> , Abuso infantil y amenazas relacionadas con la seguridad infantil);</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5. la participación de su hijo en encuestas no financiadas por el Departamento de Educación sobre temas protegidos (consulte la política </w:t>
      </w:r>
      <w:hyperlink r:id="rId32" w:history="1">
        <w:r w:rsidRPr="00114F53">
          <w:rPr>
            <w:rFonts w:ascii="Arial" w:eastAsia="Times New Roman" w:hAnsi="Arial" w:cs="Arial"/>
            <w:color w:val="0000FF"/>
            <w:sz w:val="24"/>
            <w:szCs w:val="24"/>
            <w:u w:val="single"/>
          </w:rPr>
          <w:t>4720</w:t>
        </w:r>
      </w:hyperlink>
      <w:r w:rsidRPr="00114F53">
        <w:rPr>
          <w:rFonts w:ascii="Arial" w:eastAsia="Times New Roman" w:hAnsi="Arial" w:cs="Arial"/>
          <w:color w:val="000000"/>
          <w:sz w:val="24"/>
          <w:szCs w:val="24"/>
        </w:rPr>
        <w:t> , Encuestas de estudiantes);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 xml:space="preserve">6. la participación de su hijo en cualquier examen o examen físico invasivo que no sea de emergencia que sea: (a) requerido como condición de asistencia; (b) administrado y programado con anticipación por la </w:t>
      </w:r>
      <w:r w:rsidRPr="00114F53">
        <w:rPr>
          <w:rFonts w:ascii="Arial" w:eastAsia="Times New Roman" w:hAnsi="Arial" w:cs="Arial"/>
          <w:color w:val="000000"/>
          <w:sz w:val="24"/>
          <w:szCs w:val="24"/>
        </w:rPr>
        <w:lastRenderedPageBreak/>
        <w:t>administración de la escuela; y (c) no es necesario para proteger la salud y seguridad inmediata de los estudiantes;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7. la recopilación, divulgación o uso de la información personal de su hijo para fines de marketing (consulte la política </w:t>
      </w:r>
      <w:hyperlink r:id="rId33" w:history="1">
        <w:r w:rsidRPr="00114F53">
          <w:rPr>
            <w:rFonts w:ascii="Arial" w:eastAsia="Times New Roman" w:hAnsi="Arial" w:cs="Arial"/>
            <w:color w:val="0000FF"/>
            <w:sz w:val="24"/>
            <w:szCs w:val="24"/>
            <w:u w:val="single"/>
          </w:rPr>
          <w:t>4720</w:t>
        </w:r>
      </w:hyperlink>
      <w:r w:rsidRPr="00114F53">
        <w:rPr>
          <w:rFonts w:ascii="Arial" w:eastAsia="Times New Roman" w:hAnsi="Arial" w:cs="Arial"/>
          <w:color w:val="000000"/>
          <w:sz w:val="24"/>
          <w:szCs w:val="24"/>
        </w:rPr>
        <w:t> , Encuestas de estudiantes); y</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8. divulgar la información sobre comidas gratuitas oa precio reducido de su hijo a Medicaid estatal o al programa estatal de seguro médico para niños (SCHIP).</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Cualquier padre o tutor legal que desee optar por no participar o negar el consentimiento debe hacerlo por escrito después de recibir la notificación. En caso contrario, se presume el consentimiento a los programas o actividades. Después de la notificación anual, la escuela no está obligada a proporcionar más avisos a los padres o tutores legales sobre la forma en que se usa la información del directorio de estudiantes, se proporciona el plan de estudios o se ponen a disposición los programas de orientación. </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b/>
          <w:bCs/>
          <w:color w:val="000000"/>
          <w:sz w:val="24"/>
          <w:szCs w:val="24"/>
        </w:rPr>
        <w:t>D. Permiso de los padres requerido</w:t>
      </w:r>
    </w:p>
    <w:p w:rsidR="00114F53" w:rsidRPr="00114F53" w:rsidRDefault="00114F53" w:rsidP="00114F53">
      <w:pPr>
        <w:spacing w:before="100" w:beforeAutospacing="1" w:after="100" w:afterAutospacing="1" w:line="240" w:lineRule="auto"/>
        <w:ind w:left="600"/>
        <w:rPr>
          <w:rFonts w:ascii="Arial" w:eastAsia="Times New Roman" w:hAnsi="Arial" w:cs="Arial"/>
          <w:color w:val="000000"/>
          <w:sz w:val="24"/>
          <w:szCs w:val="24"/>
        </w:rPr>
      </w:pPr>
      <w:r w:rsidRPr="00114F53">
        <w:rPr>
          <w:rFonts w:ascii="Arial" w:eastAsia="Times New Roman" w:hAnsi="Arial" w:cs="Arial"/>
          <w:color w:val="000000"/>
          <w:sz w:val="24"/>
          <w:szCs w:val="24"/>
        </w:rPr>
        <w:t>Se requiere permiso por escrito de los padres antes de las siguientes actividades: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 la administración de medicamentos a los estudiantes por parte de los empleados del distrito escolar (consulte la política </w:t>
      </w:r>
      <w:hyperlink r:id="rId34" w:history="1">
        <w:r w:rsidRPr="00114F53">
          <w:rPr>
            <w:rFonts w:ascii="Arial" w:eastAsia="Times New Roman" w:hAnsi="Arial" w:cs="Arial"/>
            <w:color w:val="0000FF"/>
            <w:sz w:val="24"/>
            <w:szCs w:val="24"/>
            <w:u w:val="single"/>
          </w:rPr>
          <w:t>6125</w:t>
        </w:r>
      </w:hyperlink>
      <w:r w:rsidRPr="00114F53">
        <w:rPr>
          <w:rFonts w:ascii="Arial" w:eastAsia="Times New Roman" w:hAnsi="Arial" w:cs="Arial"/>
          <w:color w:val="000000"/>
          <w:sz w:val="24"/>
          <w:szCs w:val="24"/>
        </w:rPr>
        <w:t> , Administración de medicamentos a los estudiantes);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2. la divulgación de expedientes estudiantiles que no se consideran información de directorio, a menos que la ley permita o exija la divulgación (consulte la política </w:t>
      </w:r>
      <w:hyperlink r:id="rId35" w:history="1">
        <w:r w:rsidRPr="00114F53">
          <w:rPr>
            <w:rFonts w:ascii="Arial" w:eastAsia="Times New Roman" w:hAnsi="Arial" w:cs="Arial"/>
            <w:color w:val="0000FF"/>
            <w:sz w:val="24"/>
            <w:szCs w:val="24"/>
            <w:u w:val="single"/>
          </w:rPr>
          <w:t>4700</w:t>
        </w:r>
      </w:hyperlink>
      <w:r w:rsidRPr="00114F53">
        <w:rPr>
          <w:rFonts w:ascii="Arial" w:eastAsia="Times New Roman" w:hAnsi="Arial" w:cs="Arial"/>
          <w:color w:val="000000"/>
          <w:sz w:val="24"/>
          <w:szCs w:val="24"/>
        </w:rPr>
        <w:t> , Expedientes estudiantiles);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3. viajes fuera del campus;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4. la participación de los estudiantes en deportes de alto impacto o alto riesgo o actividades extracurriculares, como fútbol o escalar montañas (consulte la póliza </w:t>
      </w:r>
      <w:hyperlink r:id="rId36" w:history="1">
        <w:r w:rsidRPr="00114F53">
          <w:rPr>
            <w:rFonts w:ascii="Arial" w:eastAsia="Times New Roman" w:hAnsi="Arial" w:cs="Arial"/>
            <w:color w:val="0000FF"/>
            <w:sz w:val="24"/>
            <w:szCs w:val="24"/>
            <w:u w:val="single"/>
          </w:rPr>
          <w:t>4220</w:t>
        </w:r>
      </w:hyperlink>
      <w:r w:rsidRPr="00114F53">
        <w:rPr>
          <w:rFonts w:ascii="Arial" w:eastAsia="Times New Roman" w:hAnsi="Arial" w:cs="Arial"/>
          <w:color w:val="000000"/>
          <w:sz w:val="24"/>
          <w:szCs w:val="24"/>
        </w:rPr>
        <w:t> , Programa de seguro para estudiantes);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5. todas las decisiones o acciones requeridas por IDEA con respecto a brindar educación especial o servicios relacionados a estudiantes con discapacidades (consulte la política </w:t>
      </w:r>
      <w:hyperlink r:id="rId37" w:history="1">
        <w:r w:rsidRPr="00114F53">
          <w:rPr>
            <w:rFonts w:ascii="Arial" w:eastAsia="Times New Roman" w:hAnsi="Arial" w:cs="Arial"/>
            <w:color w:val="0000FF"/>
            <w:sz w:val="24"/>
            <w:szCs w:val="24"/>
            <w:u w:val="single"/>
          </w:rPr>
          <w:t>3520</w:t>
        </w:r>
      </w:hyperlink>
      <w:r w:rsidRPr="00114F53">
        <w:rPr>
          <w:rFonts w:ascii="Arial" w:eastAsia="Times New Roman" w:hAnsi="Arial" w:cs="Arial"/>
          <w:color w:val="000000"/>
          <w:sz w:val="24"/>
          <w:szCs w:val="24"/>
        </w:rPr>
        <w:t> , Programas de educación especial/Derechos de los estudiantes con discapacidades);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6. ciertos servicios de salud, según lo exija la ley;</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7. participación en una evaluación de salud mental o servicios de salud mental bajo circunstancias prescritas por la ley federal;</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lastRenderedPageBreak/>
        <w:t>8. participación de los estudiantes en programas o servicios que brindan información sobre dónde obtener anticonceptivos o servicios de referencia de aborto;</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9. la participación de los estudiantes en encuestas financiadas por el Departamento de Educación que se llevan a cabo sobre temas protegidos (ver política </w:t>
      </w:r>
      <w:hyperlink r:id="rId38" w:history="1">
        <w:r w:rsidRPr="00114F53">
          <w:rPr>
            <w:rFonts w:ascii="Arial" w:eastAsia="Times New Roman" w:hAnsi="Arial" w:cs="Arial"/>
            <w:color w:val="0000FF"/>
            <w:sz w:val="24"/>
            <w:szCs w:val="24"/>
            <w:u w:val="single"/>
          </w:rPr>
          <w:t>4720</w:t>
        </w:r>
      </w:hyperlink>
      <w:r w:rsidRPr="00114F53">
        <w:rPr>
          <w:rFonts w:ascii="Arial" w:eastAsia="Times New Roman" w:hAnsi="Arial" w:cs="Arial"/>
          <w:color w:val="000000"/>
          <w:sz w:val="24"/>
          <w:szCs w:val="24"/>
        </w:rPr>
        <w:t> , Encuestas de Estudiantes);</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10. divulgación de la información de elegibilidad o estado de elegibilidad de los estudiantes para almuerzo gratis oa precio reducido; y</w:t>
      </w:r>
    </w:p>
    <w:p w:rsidR="00114F53" w:rsidRPr="00114F53" w:rsidRDefault="00114F53" w:rsidP="00114F53">
      <w:pPr>
        <w:spacing w:before="100" w:beforeAutospacing="1" w:after="100" w:afterAutospacing="1" w:line="240" w:lineRule="auto"/>
        <w:ind w:left="1200"/>
        <w:rPr>
          <w:rFonts w:ascii="Arial" w:eastAsia="Times New Roman" w:hAnsi="Arial" w:cs="Arial"/>
          <w:color w:val="000000"/>
          <w:sz w:val="24"/>
          <w:szCs w:val="24"/>
        </w:rPr>
      </w:pPr>
      <w:r w:rsidRPr="00114F53">
        <w:rPr>
          <w:rFonts w:ascii="Arial" w:eastAsia="Times New Roman" w:hAnsi="Arial" w:cs="Arial"/>
          <w:color w:val="000000"/>
          <w:sz w:val="24"/>
          <w:szCs w:val="24"/>
        </w:rPr>
        <w:t>11. el acceso independiente de los estudiantes a Internet, como se describe en la política </w:t>
      </w:r>
      <w:hyperlink r:id="rId39" w:history="1">
        <w:r w:rsidRPr="00114F53">
          <w:rPr>
            <w:rFonts w:ascii="Arial" w:eastAsia="Times New Roman" w:hAnsi="Arial" w:cs="Arial"/>
            <w:color w:val="0000FF"/>
            <w:sz w:val="24"/>
            <w:szCs w:val="24"/>
            <w:u w:val="single"/>
          </w:rPr>
          <w:t>3225/4312/7320</w:t>
        </w:r>
      </w:hyperlink>
      <w:r w:rsidRPr="00114F53">
        <w:rPr>
          <w:rFonts w:ascii="Arial" w:eastAsia="Times New Roman" w:hAnsi="Arial" w:cs="Arial"/>
          <w:color w:val="000000"/>
          <w:sz w:val="24"/>
          <w:szCs w:val="24"/>
        </w:rPr>
        <w:t> , Uso responsable de la tecnología. </w:t>
      </w:r>
    </w:p>
    <w:p w:rsidR="00114F53" w:rsidRPr="00114F53" w:rsidRDefault="00114F53" w:rsidP="00114F53">
      <w:pPr>
        <w:spacing w:before="100" w:beforeAutospacing="1" w:after="100" w:afterAutospacing="1" w:line="240" w:lineRule="auto"/>
        <w:rPr>
          <w:rFonts w:ascii="Arial" w:eastAsia="Times New Roman" w:hAnsi="Arial" w:cs="Arial"/>
          <w:color w:val="000000"/>
          <w:sz w:val="24"/>
          <w:szCs w:val="24"/>
        </w:rPr>
      </w:pPr>
      <w:r w:rsidRPr="00114F53">
        <w:rPr>
          <w:rFonts w:ascii="Arial" w:eastAsia="Times New Roman" w:hAnsi="Arial" w:cs="Arial"/>
          <w:color w:val="000000"/>
          <w:sz w:val="24"/>
          <w:szCs w:val="24"/>
        </w:rPr>
        <w:t>Referencias legales: Ley de Estadounidenses con Discapacidades, </w:t>
      </w:r>
      <w:hyperlink r:id="rId40" w:tgtFrame="_blank" w:history="1">
        <w:r w:rsidRPr="00114F53">
          <w:rPr>
            <w:rFonts w:ascii="Arial" w:eastAsia="Times New Roman" w:hAnsi="Arial" w:cs="Arial"/>
            <w:color w:val="0000FF"/>
            <w:sz w:val="24"/>
            <w:szCs w:val="24"/>
            <w:u w:val="single"/>
          </w:rPr>
          <w:t>42 USC 12101 </w:t>
        </w:r>
      </w:hyperlink>
      <w:r w:rsidRPr="00114F53">
        <w:rPr>
          <w:rFonts w:ascii="Arial" w:eastAsia="Times New Roman" w:hAnsi="Arial" w:cs="Arial"/>
          <w:i/>
          <w:iCs/>
          <w:color w:val="000000"/>
          <w:sz w:val="24"/>
          <w:szCs w:val="24"/>
        </w:rPr>
        <w:t>et seq. </w:t>
      </w:r>
      <w:r w:rsidRPr="00114F53">
        <w:rPr>
          <w:rFonts w:ascii="Arial" w:eastAsia="Times New Roman" w:hAnsi="Arial" w:cs="Arial"/>
          <w:color w:val="000000"/>
          <w:sz w:val="24"/>
          <w:szCs w:val="24"/>
        </w:rPr>
        <w:t>, </w:t>
      </w:r>
      <w:hyperlink r:id="rId41" w:tgtFrame="_blank" w:history="1">
        <w:r w:rsidRPr="00114F53">
          <w:rPr>
            <w:rFonts w:ascii="Arial" w:eastAsia="Times New Roman" w:hAnsi="Arial" w:cs="Arial"/>
            <w:color w:val="0000FF"/>
            <w:sz w:val="24"/>
            <w:szCs w:val="24"/>
            <w:u w:val="single"/>
          </w:rPr>
          <w:t>28 CFR pt. 35</w:t>
        </w:r>
      </w:hyperlink>
      <w:r w:rsidRPr="00114F53">
        <w:rPr>
          <w:rFonts w:ascii="Arial" w:eastAsia="Times New Roman" w:hAnsi="Arial" w:cs="Arial"/>
          <w:color w:val="000000"/>
          <w:sz w:val="24"/>
          <w:szCs w:val="24"/>
        </w:rPr>
        <w:t> ; Ley de Respuesta a Emergencias por Peligro de Asbesto, </w:t>
      </w:r>
      <w:hyperlink r:id="rId42" w:tgtFrame="_blank" w:history="1">
        <w:r w:rsidRPr="00114F53">
          <w:rPr>
            <w:rFonts w:ascii="Arial" w:eastAsia="Times New Roman" w:hAnsi="Arial" w:cs="Arial"/>
            <w:color w:val="0000FF"/>
            <w:sz w:val="24"/>
            <w:szCs w:val="24"/>
            <w:u w:val="single"/>
          </w:rPr>
          <w:t>15 USC 2641</w:t>
        </w:r>
      </w:hyperlink>
      <w:r w:rsidRPr="00114F53">
        <w:rPr>
          <w:rFonts w:ascii="Arial" w:eastAsia="Times New Roman" w:hAnsi="Arial" w:cs="Arial"/>
          <w:color w:val="000000"/>
          <w:sz w:val="24"/>
          <w:szCs w:val="24"/>
        </w:rPr>
        <w:t> , </w:t>
      </w:r>
      <w:r w:rsidRPr="00114F53">
        <w:rPr>
          <w:rFonts w:ascii="Arial" w:eastAsia="Times New Roman" w:hAnsi="Arial" w:cs="Arial"/>
          <w:i/>
          <w:iCs/>
          <w:color w:val="000000"/>
          <w:sz w:val="24"/>
          <w:szCs w:val="24"/>
        </w:rPr>
        <w:t>et seq. </w:t>
      </w:r>
      <w:r w:rsidRPr="00114F53">
        <w:rPr>
          <w:rFonts w:ascii="Arial" w:eastAsia="Times New Roman" w:hAnsi="Arial" w:cs="Arial"/>
          <w:color w:val="000000"/>
          <w:sz w:val="24"/>
          <w:szCs w:val="24"/>
        </w:rPr>
        <w:t>; Ley de Igualdad de Acceso de Boy Scouts of America, </w:t>
      </w:r>
      <w:hyperlink r:id="rId43" w:tgtFrame="_blank" w:history="1">
        <w:r w:rsidRPr="00114F53">
          <w:rPr>
            <w:rFonts w:ascii="Arial" w:eastAsia="Times New Roman" w:hAnsi="Arial" w:cs="Arial"/>
            <w:color w:val="0000FF"/>
            <w:sz w:val="24"/>
            <w:szCs w:val="24"/>
            <w:u w:val="single"/>
          </w:rPr>
          <w:t>20 USC 7905</w:t>
        </w:r>
      </w:hyperlink>
      <w:r w:rsidRPr="00114F53">
        <w:rPr>
          <w:rFonts w:ascii="Arial" w:eastAsia="Times New Roman" w:hAnsi="Arial" w:cs="Arial"/>
          <w:color w:val="000000"/>
          <w:sz w:val="24"/>
          <w:szCs w:val="24"/>
        </w:rPr>
        <w:t> , </w:t>
      </w:r>
      <w:hyperlink r:id="rId44" w:tgtFrame="_blank" w:history="1">
        <w:r w:rsidRPr="00114F53">
          <w:rPr>
            <w:rFonts w:ascii="Arial" w:eastAsia="Times New Roman" w:hAnsi="Arial" w:cs="Arial"/>
            <w:color w:val="0000FF"/>
            <w:sz w:val="24"/>
            <w:szCs w:val="24"/>
            <w:u w:val="single"/>
          </w:rPr>
          <w:t>34 CFR 108.9</w:t>
        </w:r>
      </w:hyperlink>
      <w:r w:rsidRPr="00114F53">
        <w:rPr>
          <w:rFonts w:ascii="Arial" w:eastAsia="Times New Roman" w:hAnsi="Arial" w:cs="Arial"/>
          <w:color w:val="000000"/>
          <w:sz w:val="24"/>
          <w:szCs w:val="24"/>
        </w:rPr>
        <w:t> ; Ley de Educación Primaria y Secundaria, según enmendada, </w:t>
      </w:r>
      <w:hyperlink r:id="rId45" w:tgtFrame="_blank" w:history="1">
        <w:r w:rsidRPr="00114F53">
          <w:rPr>
            <w:rFonts w:ascii="Arial" w:eastAsia="Times New Roman" w:hAnsi="Arial" w:cs="Arial"/>
            <w:color w:val="0000FF"/>
            <w:sz w:val="24"/>
            <w:szCs w:val="24"/>
            <w:u w:val="single"/>
          </w:rPr>
          <w:t>20 USC 6301 </w:t>
        </w:r>
      </w:hyperlink>
      <w:r w:rsidRPr="00114F53">
        <w:rPr>
          <w:rFonts w:ascii="Arial" w:eastAsia="Times New Roman" w:hAnsi="Arial" w:cs="Arial"/>
          <w:i/>
          <w:iCs/>
          <w:color w:val="000000"/>
          <w:sz w:val="24"/>
          <w:szCs w:val="24"/>
        </w:rPr>
        <w:t>et seq. </w:t>
      </w:r>
      <w:hyperlink r:id="rId46" w:tgtFrame="_blank" w:history="1">
        <w:r w:rsidRPr="00114F53">
          <w:rPr>
            <w:rFonts w:ascii="Arial" w:eastAsia="Times New Roman" w:hAnsi="Arial" w:cs="Arial"/>
            <w:color w:val="0000FF"/>
            <w:sz w:val="24"/>
            <w:szCs w:val="24"/>
            <w:u w:val="single"/>
          </w:rPr>
          <w:t>34 CFR punto. 200</w:t>
        </w:r>
      </w:hyperlink>
      <w:r w:rsidRPr="00114F53">
        <w:rPr>
          <w:rFonts w:ascii="Arial" w:eastAsia="Times New Roman" w:hAnsi="Arial" w:cs="Arial"/>
          <w:color w:val="000000"/>
          <w:sz w:val="24"/>
          <w:szCs w:val="24"/>
        </w:rPr>
        <w:t> ; Ley de Privacidad y Derechos Educativos de la Familia, </w:t>
      </w:r>
      <w:hyperlink r:id="rId47" w:tgtFrame="_blank" w:history="1">
        <w:r w:rsidRPr="00114F53">
          <w:rPr>
            <w:rFonts w:ascii="Arial" w:eastAsia="Times New Roman" w:hAnsi="Arial" w:cs="Arial"/>
            <w:color w:val="0000FF"/>
            <w:sz w:val="24"/>
            <w:szCs w:val="24"/>
            <w:u w:val="single"/>
          </w:rPr>
          <w:t>20 USC 1232g</w:t>
        </w:r>
      </w:hyperlink>
      <w:r w:rsidRPr="00114F53">
        <w:rPr>
          <w:rFonts w:ascii="Arial" w:eastAsia="Times New Roman" w:hAnsi="Arial" w:cs="Arial"/>
          <w:color w:val="000000"/>
          <w:sz w:val="24"/>
          <w:szCs w:val="24"/>
        </w:rPr>
        <w:t> , </w:t>
      </w:r>
      <w:hyperlink r:id="rId48" w:tgtFrame="_blank" w:history="1">
        <w:r w:rsidRPr="00114F53">
          <w:rPr>
            <w:rFonts w:ascii="Arial" w:eastAsia="Times New Roman" w:hAnsi="Arial" w:cs="Arial"/>
            <w:color w:val="0000FF"/>
            <w:sz w:val="24"/>
            <w:szCs w:val="24"/>
            <w:u w:val="single"/>
          </w:rPr>
          <w:t>34 CFR pt. 99</w:t>
        </w:r>
      </w:hyperlink>
      <w:r w:rsidRPr="00114F53">
        <w:rPr>
          <w:rFonts w:ascii="Arial" w:eastAsia="Times New Roman" w:hAnsi="Arial" w:cs="Arial"/>
          <w:color w:val="000000"/>
          <w:sz w:val="24"/>
          <w:szCs w:val="24"/>
        </w:rPr>
        <w:t> ; Ley de Educación para Individuos con Discapacidades, </w:t>
      </w:r>
      <w:hyperlink r:id="rId49" w:tgtFrame="_blank" w:history="1">
        <w:r w:rsidRPr="00114F53">
          <w:rPr>
            <w:rFonts w:ascii="Arial" w:eastAsia="Times New Roman" w:hAnsi="Arial" w:cs="Arial"/>
            <w:color w:val="0000FF"/>
            <w:sz w:val="24"/>
            <w:szCs w:val="24"/>
            <w:u w:val="single"/>
          </w:rPr>
          <w:t>20 USC 1400</w:t>
        </w:r>
      </w:hyperlink>
      <w:r w:rsidRPr="00114F53">
        <w:rPr>
          <w:rFonts w:ascii="Arial" w:eastAsia="Times New Roman" w:hAnsi="Arial" w:cs="Arial"/>
          <w:color w:val="000000"/>
          <w:sz w:val="24"/>
          <w:szCs w:val="24"/>
        </w:rPr>
        <w:t> , </w:t>
      </w:r>
      <w:r w:rsidRPr="00114F53">
        <w:rPr>
          <w:rFonts w:ascii="Arial" w:eastAsia="Times New Roman" w:hAnsi="Arial" w:cs="Arial"/>
          <w:i/>
          <w:iCs/>
          <w:color w:val="000000"/>
          <w:sz w:val="24"/>
          <w:szCs w:val="24"/>
        </w:rPr>
        <w:t>et seq. </w:t>
      </w:r>
      <w:r w:rsidRPr="00114F53">
        <w:rPr>
          <w:rFonts w:ascii="Arial" w:eastAsia="Times New Roman" w:hAnsi="Arial" w:cs="Arial"/>
          <w:color w:val="000000"/>
          <w:sz w:val="24"/>
          <w:szCs w:val="24"/>
        </w:rPr>
        <w:t>; Ley de asistencia para personas sin hogar McKinney-Vento,</w:t>
      </w:r>
      <w:hyperlink r:id="rId50" w:tgtFrame="_blank" w:history="1">
        <w:r w:rsidRPr="00114F53">
          <w:rPr>
            <w:rFonts w:ascii="Arial" w:eastAsia="Times New Roman" w:hAnsi="Arial" w:cs="Arial"/>
            <w:color w:val="0000FF"/>
            <w:sz w:val="24"/>
            <w:szCs w:val="24"/>
            <w:u w:val="single"/>
          </w:rPr>
          <w:t>42 USC 11431</w:t>
        </w:r>
      </w:hyperlink>
      <w:r w:rsidRPr="00114F53">
        <w:rPr>
          <w:rFonts w:ascii="Arial" w:eastAsia="Times New Roman" w:hAnsi="Arial" w:cs="Arial"/>
          <w:color w:val="000000"/>
          <w:sz w:val="24"/>
          <w:szCs w:val="24"/>
        </w:rPr>
        <w:t> y </w:t>
      </w:r>
      <w:r w:rsidRPr="00114F53">
        <w:rPr>
          <w:rFonts w:ascii="Arial" w:eastAsia="Times New Roman" w:hAnsi="Arial" w:cs="Arial"/>
          <w:i/>
          <w:iCs/>
          <w:color w:val="000000"/>
          <w:sz w:val="24"/>
          <w:szCs w:val="24"/>
        </w:rPr>
        <w:t>siguientes. </w:t>
      </w:r>
      <w:r w:rsidRPr="00114F53">
        <w:rPr>
          <w:rFonts w:ascii="Arial" w:eastAsia="Times New Roman" w:hAnsi="Arial" w:cs="Arial"/>
          <w:color w:val="000000"/>
          <w:sz w:val="24"/>
          <w:szCs w:val="24"/>
        </w:rPr>
        <w:t>; Programa Nacional de Almuerzos Escolares, </w:t>
      </w:r>
      <w:hyperlink r:id="rId51" w:tgtFrame="_blank" w:history="1">
        <w:r w:rsidRPr="00114F53">
          <w:rPr>
            <w:rFonts w:ascii="Arial" w:eastAsia="Times New Roman" w:hAnsi="Arial" w:cs="Arial"/>
            <w:color w:val="0000FF"/>
            <w:sz w:val="24"/>
            <w:szCs w:val="24"/>
            <w:u w:val="single"/>
          </w:rPr>
          <w:t>42 USC 1751 </w:t>
        </w:r>
      </w:hyperlink>
      <w:r w:rsidRPr="00114F53">
        <w:rPr>
          <w:rFonts w:ascii="Arial" w:eastAsia="Times New Roman" w:hAnsi="Arial" w:cs="Arial"/>
          <w:i/>
          <w:iCs/>
          <w:color w:val="000000"/>
          <w:sz w:val="24"/>
          <w:szCs w:val="24"/>
        </w:rPr>
        <w:t>et seq. </w:t>
      </w:r>
      <w:r w:rsidRPr="00114F53">
        <w:rPr>
          <w:rFonts w:ascii="Arial" w:eastAsia="Times New Roman" w:hAnsi="Arial" w:cs="Arial"/>
          <w:color w:val="000000"/>
          <w:sz w:val="24"/>
          <w:szCs w:val="24"/>
        </w:rPr>
        <w:t>, </w:t>
      </w:r>
      <w:hyperlink r:id="rId52" w:tgtFrame="_blank" w:history="1">
        <w:r w:rsidRPr="00114F53">
          <w:rPr>
            <w:rFonts w:ascii="Arial" w:eastAsia="Times New Roman" w:hAnsi="Arial" w:cs="Arial"/>
            <w:color w:val="0000FF"/>
            <w:sz w:val="24"/>
            <w:szCs w:val="24"/>
            <w:u w:val="single"/>
          </w:rPr>
          <w:t>7 CFR 210.12</w:t>
        </w:r>
      </w:hyperlink>
      <w:r w:rsidRPr="00114F53">
        <w:rPr>
          <w:rFonts w:ascii="Arial" w:eastAsia="Times New Roman" w:hAnsi="Arial" w:cs="Arial"/>
          <w:color w:val="000000"/>
          <w:sz w:val="24"/>
          <w:szCs w:val="24"/>
        </w:rPr>
        <w:t> , </w:t>
      </w:r>
      <w:hyperlink r:id="rId53" w:tgtFrame="_blank" w:history="1">
        <w:r w:rsidRPr="00114F53">
          <w:rPr>
            <w:rFonts w:ascii="Arial" w:eastAsia="Times New Roman" w:hAnsi="Arial" w:cs="Arial"/>
            <w:color w:val="0000FF"/>
            <w:sz w:val="24"/>
            <w:szCs w:val="24"/>
            <w:u w:val="single"/>
          </w:rPr>
          <w:t>7 CFR pt. 245</w:t>
        </w:r>
      </w:hyperlink>
      <w:r w:rsidRPr="00114F53">
        <w:rPr>
          <w:rFonts w:ascii="Arial" w:eastAsia="Times New Roman" w:hAnsi="Arial" w:cs="Arial"/>
          <w:color w:val="000000"/>
          <w:sz w:val="24"/>
          <w:szCs w:val="24"/>
        </w:rPr>
        <w:t> ; Enmienda de Protección de los Derechos del Alumno, </w:t>
      </w:r>
      <w:hyperlink r:id="rId54" w:tgtFrame="_blank" w:history="1">
        <w:r w:rsidRPr="00114F53">
          <w:rPr>
            <w:rFonts w:ascii="Arial" w:eastAsia="Times New Roman" w:hAnsi="Arial" w:cs="Arial"/>
            <w:color w:val="0000FF"/>
            <w:sz w:val="24"/>
            <w:szCs w:val="24"/>
            <w:u w:val="single"/>
          </w:rPr>
          <w:t>20 USC 1232h</w:t>
        </w:r>
      </w:hyperlink>
      <w:r w:rsidRPr="00114F53">
        <w:rPr>
          <w:rFonts w:ascii="Arial" w:eastAsia="Times New Roman" w:hAnsi="Arial" w:cs="Arial"/>
          <w:color w:val="000000"/>
          <w:sz w:val="24"/>
          <w:szCs w:val="24"/>
        </w:rPr>
        <w:t> , </w:t>
      </w:r>
      <w:hyperlink r:id="rId55" w:tgtFrame="_blank" w:history="1">
        <w:r w:rsidRPr="00114F53">
          <w:rPr>
            <w:rFonts w:ascii="Arial" w:eastAsia="Times New Roman" w:hAnsi="Arial" w:cs="Arial"/>
            <w:color w:val="0000FF"/>
            <w:sz w:val="24"/>
            <w:szCs w:val="24"/>
            <w:u w:val="single"/>
          </w:rPr>
          <w:t>34 CFR pt. 98</w:t>
        </w:r>
      </w:hyperlink>
      <w:r w:rsidRPr="00114F53">
        <w:rPr>
          <w:rFonts w:ascii="Arial" w:eastAsia="Times New Roman" w:hAnsi="Arial" w:cs="Arial"/>
          <w:color w:val="000000"/>
          <w:sz w:val="24"/>
          <w:szCs w:val="24"/>
        </w:rPr>
        <w:t> ; Ley de Rehabilitación de 1973, </w:t>
      </w:r>
      <w:hyperlink r:id="rId56" w:tgtFrame="_blank" w:history="1">
        <w:r w:rsidRPr="00114F53">
          <w:rPr>
            <w:rFonts w:ascii="Arial" w:eastAsia="Times New Roman" w:hAnsi="Arial" w:cs="Arial"/>
            <w:color w:val="0000FF"/>
            <w:sz w:val="24"/>
            <w:szCs w:val="24"/>
            <w:u w:val="single"/>
          </w:rPr>
          <w:t>29 USC 705</w:t>
        </w:r>
      </w:hyperlink>
      <w:r w:rsidRPr="00114F53">
        <w:rPr>
          <w:rFonts w:ascii="Arial" w:eastAsia="Times New Roman" w:hAnsi="Arial" w:cs="Arial"/>
          <w:color w:val="000000"/>
          <w:sz w:val="24"/>
          <w:szCs w:val="24"/>
        </w:rPr>
        <w:t> (20), </w:t>
      </w:r>
      <w:hyperlink r:id="rId57" w:tgtFrame="_blank" w:history="1">
        <w:r w:rsidRPr="00114F53">
          <w:rPr>
            <w:rFonts w:ascii="Arial" w:eastAsia="Times New Roman" w:hAnsi="Arial" w:cs="Arial"/>
            <w:color w:val="0000FF"/>
            <w:sz w:val="24"/>
            <w:szCs w:val="24"/>
            <w:u w:val="single"/>
          </w:rPr>
          <w:t>794</w:t>
        </w:r>
      </w:hyperlink>
      <w:r w:rsidRPr="00114F53">
        <w:rPr>
          <w:rFonts w:ascii="Arial" w:eastAsia="Times New Roman" w:hAnsi="Arial" w:cs="Arial"/>
          <w:color w:val="000000"/>
          <w:sz w:val="24"/>
          <w:szCs w:val="24"/>
        </w:rPr>
        <w:t> , </w:t>
      </w:r>
      <w:hyperlink r:id="rId58" w:tgtFrame="_blank" w:history="1">
        <w:r w:rsidRPr="00114F53">
          <w:rPr>
            <w:rFonts w:ascii="Arial" w:eastAsia="Times New Roman" w:hAnsi="Arial" w:cs="Arial"/>
            <w:color w:val="0000FF"/>
            <w:sz w:val="24"/>
            <w:szCs w:val="24"/>
            <w:u w:val="single"/>
          </w:rPr>
          <w:t>34 CFR pt. 104</w:t>
        </w:r>
      </w:hyperlink>
      <w:r w:rsidRPr="00114F53">
        <w:rPr>
          <w:rFonts w:ascii="Arial" w:eastAsia="Times New Roman" w:hAnsi="Arial" w:cs="Arial"/>
          <w:color w:val="000000"/>
          <w:sz w:val="24"/>
          <w:szCs w:val="24"/>
        </w:rPr>
        <w:t> ; Título VI de la Ley de Derechos Civiles de 1964, </w:t>
      </w:r>
      <w:hyperlink r:id="rId59" w:tgtFrame="_blank" w:history="1">
        <w:r w:rsidRPr="00114F53">
          <w:rPr>
            <w:rFonts w:ascii="Arial" w:eastAsia="Times New Roman" w:hAnsi="Arial" w:cs="Arial"/>
            <w:color w:val="0000FF"/>
            <w:sz w:val="24"/>
            <w:szCs w:val="24"/>
            <w:u w:val="single"/>
          </w:rPr>
          <w:t>42 USC 2000d </w:t>
        </w:r>
      </w:hyperlink>
      <w:r w:rsidRPr="00114F53">
        <w:rPr>
          <w:rFonts w:ascii="Arial" w:eastAsia="Times New Roman" w:hAnsi="Arial" w:cs="Arial"/>
          <w:i/>
          <w:iCs/>
          <w:color w:val="000000"/>
          <w:sz w:val="24"/>
          <w:szCs w:val="24"/>
        </w:rPr>
        <w:t>et seq. </w:t>
      </w:r>
      <w:r w:rsidRPr="00114F53">
        <w:rPr>
          <w:rFonts w:ascii="Arial" w:eastAsia="Times New Roman" w:hAnsi="Arial" w:cs="Arial"/>
          <w:color w:val="000000"/>
          <w:sz w:val="24"/>
          <w:szCs w:val="24"/>
        </w:rPr>
        <w:t>, </w:t>
      </w:r>
      <w:hyperlink r:id="rId60" w:tgtFrame="_blank" w:history="1">
        <w:r w:rsidRPr="00114F53">
          <w:rPr>
            <w:rFonts w:ascii="Arial" w:eastAsia="Times New Roman" w:hAnsi="Arial" w:cs="Arial"/>
            <w:color w:val="0000FF"/>
            <w:sz w:val="24"/>
            <w:szCs w:val="24"/>
            <w:u w:val="single"/>
          </w:rPr>
          <w:t>34 CFR pt. 100</w:t>
        </w:r>
      </w:hyperlink>
      <w:r w:rsidRPr="00114F53">
        <w:rPr>
          <w:rFonts w:ascii="Arial" w:eastAsia="Times New Roman" w:hAnsi="Arial" w:cs="Arial"/>
          <w:color w:val="000000"/>
          <w:sz w:val="24"/>
          <w:szCs w:val="24"/>
        </w:rPr>
        <w:t> ; Título IX de la Ley de Enmiendas a la Educación de 1972, </w:t>
      </w:r>
      <w:hyperlink r:id="rId61" w:tgtFrame="_blank" w:history="1">
        <w:r w:rsidRPr="00114F53">
          <w:rPr>
            <w:rFonts w:ascii="Arial" w:eastAsia="Times New Roman" w:hAnsi="Arial" w:cs="Arial"/>
            <w:color w:val="0000FF"/>
            <w:sz w:val="24"/>
            <w:szCs w:val="24"/>
            <w:u w:val="single"/>
          </w:rPr>
          <w:t>20 USC 1681 </w:t>
        </w:r>
      </w:hyperlink>
      <w:r w:rsidRPr="00114F53">
        <w:rPr>
          <w:rFonts w:ascii="Arial" w:eastAsia="Times New Roman" w:hAnsi="Arial" w:cs="Arial"/>
          <w:i/>
          <w:iCs/>
          <w:color w:val="000000"/>
          <w:sz w:val="24"/>
          <w:szCs w:val="24"/>
        </w:rPr>
        <w:t>et seq. </w:t>
      </w:r>
      <w:r w:rsidRPr="00114F53">
        <w:rPr>
          <w:rFonts w:ascii="Arial" w:eastAsia="Times New Roman" w:hAnsi="Arial" w:cs="Arial"/>
          <w:color w:val="000000"/>
          <w:sz w:val="24"/>
          <w:szCs w:val="24"/>
        </w:rPr>
        <w:t>, </w:t>
      </w:r>
      <w:hyperlink r:id="rId62" w:tgtFrame="_blank" w:history="1">
        <w:r w:rsidRPr="00114F53">
          <w:rPr>
            <w:rFonts w:ascii="Arial" w:eastAsia="Times New Roman" w:hAnsi="Arial" w:cs="Arial"/>
            <w:color w:val="0000FF"/>
            <w:sz w:val="24"/>
            <w:szCs w:val="24"/>
            <w:u w:val="single"/>
          </w:rPr>
          <w:t>34 CFR pt. 106</w:t>
        </w:r>
      </w:hyperlink>
      <w:r w:rsidRPr="00114F53">
        <w:rPr>
          <w:rFonts w:ascii="Arial" w:eastAsia="Times New Roman" w:hAnsi="Arial" w:cs="Arial"/>
          <w:color w:val="000000"/>
          <w:sz w:val="24"/>
          <w:szCs w:val="24"/>
        </w:rPr>
        <w:t> ;</w:t>
      </w:r>
      <w:hyperlink r:id="rId63" w:tgtFrame="_blank" w:history="1">
        <w:r w:rsidRPr="00114F53">
          <w:rPr>
            <w:rFonts w:ascii="Arial" w:eastAsia="Times New Roman" w:hAnsi="Arial" w:cs="Arial"/>
            <w:color w:val="0000FF"/>
            <w:sz w:val="24"/>
            <w:szCs w:val="24"/>
            <w:u w:val="single"/>
          </w:rPr>
          <w:t>20 USC 7908</w:t>
        </w:r>
      </w:hyperlink>
      <w:r w:rsidRPr="00114F53">
        <w:rPr>
          <w:rFonts w:ascii="Arial" w:eastAsia="Times New Roman" w:hAnsi="Arial" w:cs="Arial"/>
          <w:color w:val="000000"/>
          <w:sz w:val="24"/>
          <w:szCs w:val="24"/>
        </w:rPr>
        <w:t> ; </w:t>
      </w:r>
      <w:hyperlink r:id="rId64" w:tgtFrame="_blank" w:history="1">
        <w:r w:rsidRPr="00114F53">
          <w:rPr>
            <w:rFonts w:ascii="Arial" w:eastAsia="Times New Roman" w:hAnsi="Arial" w:cs="Arial"/>
            <w:color w:val="0000FF"/>
            <w:sz w:val="24"/>
            <w:szCs w:val="24"/>
            <w:u w:val="single"/>
          </w:rPr>
          <w:t>SG 90-21.1</w:t>
        </w:r>
      </w:hyperlink>
      <w:r w:rsidRPr="00114F53">
        <w:rPr>
          <w:rFonts w:ascii="Arial" w:eastAsia="Times New Roman" w:hAnsi="Arial" w:cs="Arial"/>
          <w:color w:val="000000"/>
          <w:sz w:val="24"/>
          <w:szCs w:val="24"/>
        </w:rPr>
        <w:t> ; </w:t>
      </w:r>
      <w:hyperlink r:id="rId65" w:tgtFrame="_blank" w:history="1">
        <w:r w:rsidRPr="00114F53">
          <w:rPr>
            <w:rFonts w:ascii="Arial" w:eastAsia="Times New Roman" w:hAnsi="Arial" w:cs="Arial"/>
            <w:color w:val="0000FF"/>
            <w:sz w:val="24"/>
            <w:szCs w:val="24"/>
            <w:u w:val="single"/>
          </w:rPr>
          <w:t>95-28,3</w:t>
        </w:r>
      </w:hyperlink>
      <w:r w:rsidRPr="00114F53">
        <w:rPr>
          <w:rFonts w:ascii="Arial" w:eastAsia="Times New Roman" w:hAnsi="Arial" w:cs="Arial"/>
          <w:color w:val="000000"/>
          <w:sz w:val="24"/>
          <w:szCs w:val="24"/>
        </w:rPr>
        <w:t> ; </w:t>
      </w:r>
      <w:hyperlink r:id="rId66" w:tgtFrame="_blank" w:history="1">
        <w:r w:rsidRPr="00114F53">
          <w:rPr>
            <w:rFonts w:ascii="Arial" w:eastAsia="Times New Roman" w:hAnsi="Arial" w:cs="Arial"/>
            <w:color w:val="0000FF"/>
            <w:sz w:val="24"/>
            <w:szCs w:val="24"/>
            <w:u w:val="single"/>
          </w:rPr>
          <w:t>115C-47</w:t>
        </w:r>
      </w:hyperlink>
      <w:r w:rsidRPr="00114F53">
        <w:rPr>
          <w:rFonts w:ascii="Arial" w:eastAsia="Times New Roman" w:hAnsi="Arial" w:cs="Arial"/>
          <w:color w:val="000000"/>
          <w:sz w:val="24"/>
          <w:szCs w:val="24"/>
        </w:rPr>
        <w:t> (47), </w:t>
      </w:r>
      <w:hyperlink r:id="rId67" w:tgtFrame="_blank" w:history="1">
        <w:r w:rsidRPr="00114F53">
          <w:rPr>
            <w:rFonts w:ascii="Arial" w:eastAsia="Times New Roman" w:hAnsi="Arial" w:cs="Arial"/>
            <w:color w:val="0000FF"/>
            <w:sz w:val="24"/>
            <w:szCs w:val="24"/>
            <w:u w:val="single"/>
          </w:rPr>
          <w:t>-47</w:t>
        </w:r>
      </w:hyperlink>
      <w:r w:rsidRPr="00114F53">
        <w:rPr>
          <w:rFonts w:ascii="Arial" w:eastAsia="Times New Roman" w:hAnsi="Arial" w:cs="Arial"/>
          <w:color w:val="000000"/>
          <w:sz w:val="24"/>
          <w:szCs w:val="24"/>
        </w:rPr>
        <w:t> (51), </w:t>
      </w:r>
      <w:hyperlink r:id="rId68" w:tgtFrame="_blank" w:history="1">
        <w:r w:rsidRPr="00114F53">
          <w:rPr>
            <w:rFonts w:ascii="Arial" w:eastAsia="Times New Roman" w:hAnsi="Arial" w:cs="Arial"/>
            <w:color w:val="0000FF"/>
            <w:sz w:val="24"/>
            <w:szCs w:val="24"/>
            <w:u w:val="single"/>
          </w:rPr>
          <w:t>-47</w:t>
        </w:r>
      </w:hyperlink>
      <w:r w:rsidRPr="00114F53">
        <w:rPr>
          <w:rFonts w:ascii="Arial" w:eastAsia="Times New Roman" w:hAnsi="Arial" w:cs="Arial"/>
          <w:color w:val="000000"/>
          <w:sz w:val="24"/>
          <w:szCs w:val="24"/>
        </w:rPr>
        <w:t> (54), </w:t>
      </w:r>
      <w:hyperlink r:id="rId69" w:tgtFrame="_blank" w:history="1">
        <w:r w:rsidRPr="00114F53">
          <w:rPr>
            <w:rFonts w:ascii="Arial" w:eastAsia="Times New Roman" w:hAnsi="Arial" w:cs="Arial"/>
            <w:color w:val="0000FF"/>
            <w:sz w:val="24"/>
            <w:szCs w:val="24"/>
            <w:u w:val="single"/>
          </w:rPr>
          <w:t>-47</w:t>
        </w:r>
      </w:hyperlink>
      <w:r w:rsidRPr="00114F53">
        <w:rPr>
          <w:rFonts w:ascii="Arial" w:eastAsia="Times New Roman" w:hAnsi="Arial" w:cs="Arial"/>
          <w:color w:val="000000"/>
          <w:sz w:val="24"/>
          <w:szCs w:val="24"/>
        </w:rPr>
        <w:t> (58), </w:t>
      </w:r>
      <w:hyperlink r:id="rId70" w:tgtFrame="_blank" w:history="1">
        <w:r w:rsidRPr="00114F53">
          <w:rPr>
            <w:rFonts w:ascii="Arial" w:eastAsia="Times New Roman" w:hAnsi="Arial" w:cs="Arial"/>
            <w:color w:val="0000FF"/>
            <w:sz w:val="24"/>
            <w:szCs w:val="24"/>
            <w:u w:val="single"/>
          </w:rPr>
          <w:t>-81,25</w:t>
        </w:r>
      </w:hyperlink>
      <w:r w:rsidRPr="00114F53">
        <w:rPr>
          <w:rFonts w:ascii="Arial" w:eastAsia="Times New Roman" w:hAnsi="Arial" w:cs="Arial"/>
          <w:color w:val="000000"/>
          <w:sz w:val="24"/>
          <w:szCs w:val="24"/>
        </w:rPr>
        <w:t> , </w:t>
      </w:r>
      <w:hyperlink r:id="rId71" w:tgtFrame="_blank" w:history="1">
        <w:r w:rsidRPr="00114F53">
          <w:rPr>
            <w:rFonts w:ascii="Arial" w:eastAsia="Times New Roman" w:hAnsi="Arial" w:cs="Arial"/>
            <w:color w:val="0000FF"/>
            <w:sz w:val="24"/>
            <w:szCs w:val="24"/>
            <w:u w:val="single"/>
          </w:rPr>
          <w:t>-81,30 </w:t>
        </w:r>
      </w:hyperlink>
      <w:hyperlink r:id="rId72" w:tgtFrame="_blank" w:history="1">
        <w:r w:rsidRPr="00114F53">
          <w:rPr>
            <w:rFonts w:ascii="Arial" w:eastAsia="Times New Roman" w:hAnsi="Arial" w:cs="Arial"/>
            <w:color w:val="0000FF"/>
            <w:sz w:val="24"/>
            <w:szCs w:val="24"/>
            <w:u w:val="single"/>
          </w:rPr>
          <w:t>-81,36</w:t>
        </w:r>
      </w:hyperlink>
      <w:r w:rsidRPr="00114F53">
        <w:rPr>
          <w:rFonts w:ascii="Arial" w:eastAsia="Times New Roman" w:hAnsi="Arial" w:cs="Arial"/>
          <w:color w:val="000000"/>
          <w:sz w:val="24"/>
          <w:szCs w:val="24"/>
        </w:rPr>
        <w:t> , </w:t>
      </w:r>
      <w:hyperlink r:id="rId73" w:tgtFrame="_blank" w:history="1">
        <w:r w:rsidRPr="00114F53">
          <w:rPr>
            <w:rFonts w:ascii="Arial" w:eastAsia="Times New Roman" w:hAnsi="Arial" w:cs="Arial"/>
            <w:color w:val="0000FF"/>
            <w:sz w:val="24"/>
            <w:szCs w:val="24"/>
            <w:u w:val="single"/>
          </w:rPr>
          <w:t>-105,41</w:t>
        </w:r>
      </w:hyperlink>
      <w:r w:rsidRPr="00114F53">
        <w:rPr>
          <w:rFonts w:ascii="Arial" w:eastAsia="Times New Roman" w:hAnsi="Arial" w:cs="Arial"/>
          <w:color w:val="000000"/>
          <w:sz w:val="24"/>
          <w:szCs w:val="24"/>
        </w:rPr>
        <w:t> , </w:t>
      </w:r>
      <w:hyperlink r:id="rId74" w:tgtFrame="_blank" w:history="1">
        <w:r w:rsidRPr="00114F53">
          <w:rPr>
            <w:rFonts w:ascii="Arial" w:eastAsia="Times New Roman" w:hAnsi="Arial" w:cs="Arial"/>
            <w:color w:val="0000FF"/>
            <w:sz w:val="24"/>
            <w:szCs w:val="24"/>
            <w:u w:val="single"/>
          </w:rPr>
          <w:t>-109,1</w:t>
        </w:r>
      </w:hyperlink>
      <w:r w:rsidRPr="00114F53">
        <w:rPr>
          <w:rFonts w:ascii="Arial" w:eastAsia="Times New Roman" w:hAnsi="Arial" w:cs="Arial"/>
          <w:color w:val="000000"/>
          <w:sz w:val="24"/>
          <w:szCs w:val="24"/>
        </w:rPr>
        <w:t> , </w:t>
      </w:r>
      <w:hyperlink r:id="rId75" w:tgtFrame="_blank" w:history="1">
        <w:r w:rsidRPr="00114F53">
          <w:rPr>
            <w:rFonts w:ascii="Arial" w:eastAsia="Times New Roman" w:hAnsi="Arial" w:cs="Arial"/>
            <w:color w:val="0000FF"/>
            <w:sz w:val="24"/>
            <w:szCs w:val="24"/>
            <w:u w:val="single"/>
          </w:rPr>
          <w:t>-174,26</w:t>
        </w:r>
      </w:hyperlink>
      <w:r w:rsidRPr="00114F53">
        <w:rPr>
          <w:rFonts w:ascii="Arial" w:eastAsia="Times New Roman" w:hAnsi="Arial" w:cs="Arial"/>
          <w:color w:val="000000"/>
          <w:sz w:val="24"/>
          <w:szCs w:val="24"/>
        </w:rPr>
        <w:t> (d), </w:t>
      </w:r>
      <w:hyperlink r:id="rId76" w:tgtFrame="_blank" w:history="1">
        <w:r w:rsidRPr="00114F53">
          <w:rPr>
            <w:rFonts w:ascii="Arial" w:eastAsia="Times New Roman" w:hAnsi="Arial" w:cs="Arial"/>
            <w:color w:val="0000FF"/>
            <w:sz w:val="24"/>
            <w:szCs w:val="24"/>
            <w:u w:val="single"/>
          </w:rPr>
          <w:t>-307</w:t>
        </w:r>
      </w:hyperlink>
      <w:r w:rsidRPr="00114F53">
        <w:rPr>
          <w:rFonts w:ascii="Arial" w:eastAsia="Times New Roman" w:hAnsi="Arial" w:cs="Arial"/>
          <w:color w:val="000000"/>
          <w:sz w:val="24"/>
          <w:szCs w:val="24"/>
        </w:rPr>
        <w:t> (c) , </w:t>
      </w:r>
      <w:hyperlink r:id="rId77" w:tgtFrame="_blank" w:history="1">
        <w:r w:rsidRPr="00114F53">
          <w:rPr>
            <w:rFonts w:ascii="Arial" w:eastAsia="Times New Roman" w:hAnsi="Arial" w:cs="Arial"/>
            <w:color w:val="0000FF"/>
            <w:sz w:val="24"/>
            <w:szCs w:val="24"/>
            <w:u w:val="single"/>
          </w:rPr>
          <w:t>-375,4</w:t>
        </w:r>
      </w:hyperlink>
      <w:r w:rsidRPr="00114F53">
        <w:rPr>
          <w:rFonts w:ascii="Arial" w:eastAsia="Times New Roman" w:hAnsi="Arial" w:cs="Arial"/>
          <w:color w:val="000000"/>
          <w:sz w:val="24"/>
          <w:szCs w:val="24"/>
        </w:rPr>
        <w:t> , </w:t>
      </w:r>
      <w:hyperlink r:id="rId78" w:tgtFrame="_blank" w:history="1">
        <w:r w:rsidRPr="00114F53">
          <w:rPr>
            <w:rFonts w:ascii="Arial" w:eastAsia="Times New Roman" w:hAnsi="Arial" w:cs="Arial"/>
            <w:color w:val="0000FF"/>
            <w:sz w:val="24"/>
            <w:szCs w:val="24"/>
            <w:u w:val="single"/>
          </w:rPr>
          <w:t>-390,2</w:t>
        </w:r>
      </w:hyperlink>
      <w:r w:rsidRPr="00114F53">
        <w:rPr>
          <w:rFonts w:ascii="Arial" w:eastAsia="Times New Roman" w:hAnsi="Arial" w:cs="Arial"/>
          <w:color w:val="000000"/>
          <w:sz w:val="24"/>
          <w:szCs w:val="24"/>
        </w:rPr>
        <w:t> , </w:t>
      </w:r>
      <w:hyperlink r:id="rId79" w:tgtFrame="_blank" w:history="1">
        <w:r w:rsidRPr="00114F53">
          <w:rPr>
            <w:rFonts w:ascii="Arial" w:eastAsia="Times New Roman" w:hAnsi="Arial" w:cs="Arial"/>
            <w:color w:val="0000FF"/>
            <w:sz w:val="24"/>
            <w:szCs w:val="24"/>
            <w:u w:val="single"/>
          </w:rPr>
          <w:t>-391,1</w:t>
        </w:r>
      </w:hyperlink>
      <w:r w:rsidRPr="00114F53">
        <w:rPr>
          <w:rFonts w:ascii="Arial" w:eastAsia="Times New Roman" w:hAnsi="Arial" w:cs="Arial"/>
          <w:color w:val="000000"/>
          <w:sz w:val="24"/>
          <w:szCs w:val="24"/>
        </w:rPr>
        <w:t> , </w:t>
      </w:r>
      <w:hyperlink r:id="rId80" w:tgtFrame="_blank" w:history="1">
        <w:r w:rsidRPr="00114F53">
          <w:rPr>
            <w:rFonts w:ascii="Arial" w:eastAsia="Times New Roman" w:hAnsi="Arial" w:cs="Arial"/>
            <w:color w:val="0000FF"/>
            <w:sz w:val="24"/>
            <w:szCs w:val="24"/>
            <w:u w:val="single"/>
          </w:rPr>
          <w:t>-407,16</w:t>
        </w:r>
      </w:hyperlink>
      <w:r w:rsidRPr="00114F53">
        <w:rPr>
          <w:rFonts w:ascii="Arial" w:eastAsia="Times New Roman" w:hAnsi="Arial" w:cs="Arial"/>
          <w:color w:val="000000"/>
          <w:sz w:val="24"/>
          <w:szCs w:val="24"/>
        </w:rPr>
        <w:t> ; </w:t>
      </w:r>
      <w:hyperlink r:id="rId81" w:tgtFrame="_blank" w:history="1">
        <w:r w:rsidRPr="00114F53">
          <w:rPr>
            <w:rFonts w:ascii="Arial" w:eastAsia="Times New Roman" w:hAnsi="Arial" w:cs="Arial"/>
            <w:color w:val="0000FF"/>
            <w:sz w:val="24"/>
            <w:szCs w:val="24"/>
            <w:u w:val="single"/>
          </w:rPr>
          <w:t>16 NCAC 6D .0307</w:t>
        </w:r>
      </w:hyperlink>
      <w:r w:rsidRPr="00114F53">
        <w:rPr>
          <w:rFonts w:ascii="Arial" w:eastAsia="Times New Roman" w:hAnsi="Arial" w:cs="Arial"/>
          <w:color w:val="000000"/>
          <w:sz w:val="24"/>
          <w:szCs w:val="24"/>
        </w:rPr>
        <w:t> ; Políticas de la Junta Estatal de Educación </w:t>
      </w:r>
      <w:hyperlink r:id="rId82" w:tgtFrame="_blank" w:history="1">
        <w:r w:rsidRPr="00114F53">
          <w:rPr>
            <w:rFonts w:ascii="Arial" w:eastAsia="Times New Roman" w:hAnsi="Arial" w:cs="Arial"/>
            <w:color w:val="0000FF"/>
            <w:sz w:val="24"/>
            <w:szCs w:val="24"/>
            <w:u w:val="single"/>
          </w:rPr>
          <w:t>KNEC-002</w:t>
        </w:r>
      </w:hyperlink>
      <w:r w:rsidRPr="00114F53">
        <w:rPr>
          <w:rFonts w:ascii="Arial" w:eastAsia="Times New Roman" w:hAnsi="Arial" w:cs="Arial"/>
          <w:color w:val="000000"/>
          <w:sz w:val="24"/>
          <w:szCs w:val="24"/>
        </w:rPr>
        <w:t> , </w:t>
      </w:r>
      <w:hyperlink r:id="rId83" w:tgtFrame="_blank" w:history="1">
        <w:r w:rsidRPr="00114F53">
          <w:rPr>
            <w:rFonts w:ascii="Arial" w:eastAsia="Times New Roman" w:hAnsi="Arial" w:cs="Arial"/>
            <w:color w:val="0000FF"/>
            <w:sz w:val="24"/>
            <w:szCs w:val="24"/>
            <w:u w:val="single"/>
          </w:rPr>
          <w:t>PRNT-000</w:t>
        </w:r>
      </w:hyperlink>
      <w:r w:rsidRPr="00114F53">
        <w:rPr>
          <w:rFonts w:ascii="Arial" w:eastAsia="Times New Roman" w:hAnsi="Arial" w:cs="Arial"/>
          <w:color w:val="000000"/>
          <w:sz w:val="24"/>
          <w:szCs w:val="24"/>
        </w:rPr>
        <w:t> , </w:t>
      </w:r>
      <w:hyperlink r:id="rId84" w:tgtFrame="_blank" w:history="1">
        <w:r w:rsidRPr="00114F53">
          <w:rPr>
            <w:rFonts w:ascii="Arial" w:eastAsia="Times New Roman" w:hAnsi="Arial" w:cs="Arial"/>
            <w:color w:val="0000FF"/>
            <w:sz w:val="24"/>
            <w:szCs w:val="24"/>
            <w:u w:val="single"/>
          </w:rPr>
          <w:t>TEST-001</w:t>
        </w:r>
      </w:hyperlink>
    </w:p>
    <w:p w:rsidR="00114F53" w:rsidRPr="00114F53" w:rsidRDefault="00114F53" w:rsidP="00114F53">
      <w:pPr>
        <w:spacing w:before="100" w:beforeAutospacing="1" w:after="100" w:afterAutospacing="1" w:line="240" w:lineRule="auto"/>
        <w:rPr>
          <w:rFonts w:ascii="Arial" w:eastAsia="Times New Roman" w:hAnsi="Arial" w:cs="Arial"/>
          <w:color w:val="000000"/>
          <w:sz w:val="24"/>
          <w:szCs w:val="24"/>
        </w:rPr>
      </w:pPr>
      <w:r w:rsidRPr="00114F53">
        <w:rPr>
          <w:rFonts w:ascii="Arial" w:eastAsia="Times New Roman" w:hAnsi="Arial" w:cs="Arial"/>
          <w:color w:val="000000"/>
          <w:sz w:val="24"/>
          <w:szCs w:val="24"/>
        </w:rPr>
        <w:t>Referencias cruzadas: Título I Participación de los padres y la familia (política </w:t>
      </w:r>
      <w:hyperlink r:id="rId85" w:history="1">
        <w:r w:rsidRPr="00114F53">
          <w:rPr>
            <w:rFonts w:ascii="Arial" w:eastAsia="Times New Roman" w:hAnsi="Arial" w:cs="Arial"/>
            <w:color w:val="0000FF"/>
            <w:sz w:val="24"/>
            <w:szCs w:val="24"/>
            <w:u w:val="single"/>
          </w:rPr>
          <w:t>1320/3560</w:t>
        </w:r>
      </w:hyperlink>
      <w:r w:rsidRPr="00114F53">
        <w:rPr>
          <w:rFonts w:ascii="Arial" w:eastAsia="Times New Roman" w:hAnsi="Arial" w:cs="Arial"/>
          <w:color w:val="000000"/>
          <w:sz w:val="24"/>
          <w:szCs w:val="24"/>
        </w:rPr>
        <w:t> ), Discriminación y acoso prohibidos por la ley federal (política </w:t>
      </w:r>
      <w:hyperlink r:id="rId86" w:history="1">
        <w:r w:rsidRPr="00114F53">
          <w:rPr>
            <w:rFonts w:ascii="Arial" w:eastAsia="Times New Roman" w:hAnsi="Arial" w:cs="Arial"/>
            <w:color w:val="0000FF"/>
            <w:sz w:val="24"/>
            <w:szCs w:val="24"/>
            <w:u w:val="single"/>
          </w:rPr>
          <w:t>1710/4020/7230</w:t>
        </w:r>
      </w:hyperlink>
      <w:r w:rsidRPr="00114F53">
        <w:rPr>
          <w:rFonts w:ascii="Arial" w:eastAsia="Times New Roman" w:hAnsi="Arial" w:cs="Arial"/>
          <w:color w:val="000000"/>
          <w:sz w:val="24"/>
          <w:szCs w:val="24"/>
        </w:rPr>
        <w:t> ), Título IX No discriminación por motivos de sexo (política </w:t>
      </w:r>
      <w:hyperlink r:id="rId87" w:history="1">
        <w:r w:rsidRPr="00114F53">
          <w:rPr>
            <w:rFonts w:ascii="Arial" w:eastAsia="Times New Roman" w:hAnsi="Arial" w:cs="Arial"/>
            <w:color w:val="0000FF"/>
            <w:sz w:val="24"/>
            <w:szCs w:val="24"/>
            <w:u w:val="single"/>
          </w:rPr>
          <w:t>1720/4030/7235</w:t>
        </w:r>
      </w:hyperlink>
      <w:r w:rsidRPr="00114F53">
        <w:rPr>
          <w:rFonts w:ascii="Arial" w:eastAsia="Times New Roman" w:hAnsi="Arial" w:cs="Arial"/>
          <w:color w:val="000000"/>
          <w:sz w:val="24"/>
          <w:szCs w:val="24"/>
        </w:rPr>
        <w:t> ), No discriminación sobre la base de discapacidades (política </w:t>
      </w:r>
      <w:hyperlink r:id="rId88" w:history="1">
        <w:r w:rsidRPr="00114F53">
          <w:rPr>
            <w:rFonts w:ascii="Arial" w:eastAsia="Times New Roman" w:hAnsi="Arial" w:cs="Arial"/>
            <w:color w:val="0000FF"/>
            <w:sz w:val="24"/>
            <w:szCs w:val="24"/>
            <w:u w:val="single"/>
          </w:rPr>
          <w:t>1730/4022/7231</w:t>
        </w:r>
      </w:hyperlink>
      <w:r w:rsidRPr="00114F53">
        <w:rPr>
          <w:rFonts w:ascii="Arial" w:eastAsia="Times New Roman" w:hAnsi="Arial" w:cs="Arial"/>
          <w:color w:val="000000"/>
          <w:sz w:val="24"/>
          <w:szCs w:val="24"/>
        </w:rPr>
        <w:t> ), Procedimiento de quejas de padres y estudiantes (política </w:t>
      </w:r>
      <w:hyperlink r:id="rId89" w:history="1">
        <w:r w:rsidRPr="00114F53">
          <w:rPr>
            <w:rFonts w:ascii="Arial" w:eastAsia="Times New Roman" w:hAnsi="Arial" w:cs="Arial"/>
            <w:color w:val="0000FF"/>
            <w:sz w:val="24"/>
            <w:szCs w:val="24"/>
            <w:u w:val="single"/>
          </w:rPr>
          <w:t>1740/4010</w:t>
        </w:r>
      </w:hyperlink>
      <w:r w:rsidRPr="00114F53">
        <w:rPr>
          <w:rFonts w:ascii="Arial" w:eastAsia="Times New Roman" w:hAnsi="Arial" w:cs="Arial"/>
          <w:color w:val="000000"/>
          <w:sz w:val="24"/>
          <w:szCs w:val="24"/>
        </w:rPr>
        <w:t> ), Uso responsable de la tecnología (política </w:t>
      </w:r>
      <w:hyperlink r:id="rId90" w:history="1">
        <w:r w:rsidRPr="00114F53">
          <w:rPr>
            <w:rFonts w:ascii="Arial" w:eastAsia="Times New Roman" w:hAnsi="Arial" w:cs="Arial"/>
            <w:color w:val="0000FF"/>
            <w:sz w:val="24"/>
            <w:szCs w:val="24"/>
            <w:u w:val="single"/>
          </w:rPr>
          <w:t>3225/4312/7320</w:t>
        </w:r>
      </w:hyperlink>
      <w:r w:rsidRPr="00114F53">
        <w:rPr>
          <w:rFonts w:ascii="Arial" w:eastAsia="Times New Roman" w:hAnsi="Arial" w:cs="Arial"/>
          <w:color w:val="000000"/>
          <w:sz w:val="24"/>
          <w:szCs w:val="24"/>
        </w:rPr>
        <w:t> ), Evaluación del progreso del estudiante (política </w:t>
      </w:r>
      <w:hyperlink r:id="rId91" w:history="1">
        <w:r w:rsidRPr="00114F53">
          <w:rPr>
            <w:rFonts w:ascii="Arial" w:eastAsia="Times New Roman" w:hAnsi="Arial" w:cs="Arial"/>
            <w:color w:val="0000FF"/>
            <w:sz w:val="24"/>
            <w:szCs w:val="24"/>
            <w:u w:val="single"/>
          </w:rPr>
          <w:t>3400</w:t>
        </w:r>
      </w:hyperlink>
      <w:r w:rsidRPr="00114F53">
        <w:rPr>
          <w:rFonts w:ascii="Arial" w:eastAsia="Times New Roman" w:hAnsi="Arial" w:cs="Arial"/>
          <w:color w:val="000000"/>
          <w:sz w:val="24"/>
          <w:szCs w:val="24"/>
        </w:rPr>
        <w:t> ), Estudiantes en riesgo de Fracaso Académico (política </w:t>
      </w:r>
      <w:hyperlink r:id="rId92" w:history="1">
        <w:r w:rsidRPr="00114F53">
          <w:rPr>
            <w:rFonts w:ascii="Arial" w:eastAsia="Times New Roman" w:hAnsi="Arial" w:cs="Arial"/>
            <w:color w:val="0000FF"/>
            <w:sz w:val="24"/>
            <w:szCs w:val="24"/>
            <w:u w:val="single"/>
          </w:rPr>
          <w:t>3405</w:t>
        </w:r>
      </w:hyperlink>
      <w:r w:rsidRPr="00114F53">
        <w:rPr>
          <w:rFonts w:ascii="Arial" w:eastAsia="Times New Roman" w:hAnsi="Arial" w:cs="Arial"/>
          <w:color w:val="000000"/>
          <w:sz w:val="24"/>
          <w:szCs w:val="24"/>
        </w:rPr>
        <w:t> ), Ranking de Clases (política </w:t>
      </w:r>
      <w:hyperlink r:id="rId93" w:history="1">
        <w:r w:rsidRPr="00114F53">
          <w:rPr>
            <w:rFonts w:ascii="Arial" w:eastAsia="Times New Roman" w:hAnsi="Arial" w:cs="Arial"/>
            <w:color w:val="0000FF"/>
            <w:sz w:val="24"/>
            <w:szCs w:val="24"/>
            <w:u w:val="single"/>
          </w:rPr>
          <w:t>3450</w:t>
        </w:r>
      </w:hyperlink>
      <w:r w:rsidRPr="00114F53">
        <w:rPr>
          <w:rFonts w:ascii="Arial" w:eastAsia="Times New Roman" w:hAnsi="Arial" w:cs="Arial"/>
          <w:color w:val="000000"/>
          <w:sz w:val="24"/>
          <w:szCs w:val="24"/>
        </w:rPr>
        <w:t> ), Programas de Educación Especial/Derechos de los Estudiantes con Discapacidades (política</w:t>
      </w:r>
      <w:hyperlink r:id="rId94" w:history="1">
        <w:r w:rsidRPr="00114F53">
          <w:rPr>
            <w:rFonts w:ascii="Arial" w:eastAsia="Times New Roman" w:hAnsi="Arial" w:cs="Arial"/>
            <w:color w:val="0000FF"/>
            <w:sz w:val="24"/>
            <w:szCs w:val="24"/>
            <w:u w:val="single"/>
          </w:rPr>
          <w:t>3520</w:t>
        </w:r>
      </w:hyperlink>
      <w:r w:rsidRPr="00114F53">
        <w:rPr>
          <w:rFonts w:ascii="Arial" w:eastAsia="Times New Roman" w:hAnsi="Arial" w:cs="Arial"/>
          <w:color w:val="000000"/>
          <w:sz w:val="24"/>
          <w:szCs w:val="24"/>
        </w:rPr>
        <w:t> ), Programa Integral de Educación para la Salud (política </w:t>
      </w:r>
      <w:hyperlink r:id="rId95" w:history="1">
        <w:r w:rsidRPr="00114F53">
          <w:rPr>
            <w:rFonts w:ascii="Arial" w:eastAsia="Times New Roman" w:hAnsi="Arial" w:cs="Arial"/>
            <w:color w:val="0000FF"/>
            <w:sz w:val="24"/>
            <w:szCs w:val="24"/>
            <w:u w:val="single"/>
          </w:rPr>
          <w:t>3540</w:t>
        </w:r>
      </w:hyperlink>
      <w:r w:rsidRPr="00114F53">
        <w:rPr>
          <w:rFonts w:ascii="Arial" w:eastAsia="Times New Roman" w:hAnsi="Arial" w:cs="Arial"/>
          <w:color w:val="000000"/>
          <w:sz w:val="24"/>
          <w:szCs w:val="24"/>
        </w:rPr>
        <w:t> ), Programa de Consejería (política </w:t>
      </w:r>
      <w:hyperlink r:id="rId96" w:history="1">
        <w:r w:rsidRPr="00114F53">
          <w:rPr>
            <w:rFonts w:ascii="Arial" w:eastAsia="Times New Roman" w:hAnsi="Arial" w:cs="Arial"/>
            <w:color w:val="0000FF"/>
            <w:sz w:val="24"/>
            <w:szCs w:val="24"/>
            <w:u w:val="single"/>
          </w:rPr>
          <w:t>3610</w:t>
        </w:r>
      </w:hyperlink>
      <w:r w:rsidRPr="00114F53">
        <w:rPr>
          <w:rFonts w:ascii="Arial" w:eastAsia="Times New Roman" w:hAnsi="Arial" w:cs="Arial"/>
          <w:color w:val="000000"/>
          <w:sz w:val="24"/>
          <w:szCs w:val="24"/>
        </w:rPr>
        <w:t> ), Estudiantes sin Hogar (política </w:t>
      </w:r>
      <w:hyperlink r:id="rId97" w:history="1">
        <w:r w:rsidRPr="00114F53">
          <w:rPr>
            <w:rFonts w:ascii="Arial" w:eastAsia="Times New Roman" w:hAnsi="Arial" w:cs="Arial"/>
            <w:color w:val="0000FF"/>
            <w:sz w:val="24"/>
            <w:szCs w:val="24"/>
            <w:u w:val="single"/>
          </w:rPr>
          <w:t>4125</w:t>
        </w:r>
      </w:hyperlink>
      <w:r w:rsidRPr="00114F53">
        <w:rPr>
          <w:rFonts w:ascii="Arial" w:eastAsia="Times New Roman" w:hAnsi="Arial" w:cs="Arial"/>
          <w:color w:val="000000"/>
          <w:sz w:val="24"/>
          <w:szCs w:val="24"/>
        </w:rPr>
        <w:t> ), Programa de Seguro Estudiantil (política </w:t>
      </w:r>
      <w:hyperlink r:id="rId98" w:history="1">
        <w:r w:rsidRPr="00114F53">
          <w:rPr>
            <w:rFonts w:ascii="Arial" w:eastAsia="Times New Roman" w:hAnsi="Arial" w:cs="Arial"/>
            <w:color w:val="0000FF"/>
            <w:sz w:val="24"/>
            <w:szCs w:val="24"/>
            <w:u w:val="single"/>
          </w:rPr>
          <w:t>4220</w:t>
        </w:r>
      </w:hyperlink>
      <w:r w:rsidRPr="00114F53">
        <w:rPr>
          <w:rFonts w:ascii="Arial" w:eastAsia="Times New Roman" w:hAnsi="Arial" w:cs="Arial"/>
          <w:color w:val="000000"/>
          <w:sz w:val="24"/>
          <w:szCs w:val="24"/>
        </w:rPr>
        <w:t> ), Abuso Infantil y Amenazas Relacionadas a la Seguridad Infantil (política </w:t>
      </w:r>
      <w:hyperlink r:id="rId99" w:history="1">
        <w:r w:rsidRPr="00114F53">
          <w:rPr>
            <w:rFonts w:ascii="Arial" w:eastAsia="Times New Roman" w:hAnsi="Arial" w:cs="Arial"/>
            <w:color w:val="0000FF"/>
            <w:sz w:val="24"/>
            <w:szCs w:val="24"/>
            <w:u w:val="single"/>
          </w:rPr>
          <w:t>4240/7312</w:t>
        </w:r>
      </w:hyperlink>
      <w:r w:rsidRPr="00114F53">
        <w:rPr>
          <w:rFonts w:ascii="Arial" w:eastAsia="Times New Roman" w:hAnsi="Arial" w:cs="Arial"/>
          <w:color w:val="000000"/>
          <w:sz w:val="24"/>
          <w:szCs w:val="24"/>
        </w:rPr>
        <w:t> ), Estudiante Políticas de Comportamiento ( serie </w:t>
      </w:r>
      <w:hyperlink r:id="rId100" w:history="1">
        <w:r w:rsidRPr="00114F53">
          <w:rPr>
            <w:rFonts w:ascii="Arial" w:eastAsia="Times New Roman" w:hAnsi="Arial" w:cs="Arial"/>
            <w:color w:val="0000FF"/>
            <w:sz w:val="24"/>
            <w:szCs w:val="24"/>
            <w:u w:val="single"/>
          </w:rPr>
          <w:t>4300</w:t>
        </w:r>
      </w:hyperlink>
      <w:r w:rsidRPr="00114F53">
        <w:rPr>
          <w:rFonts w:ascii="Arial" w:eastAsia="Times New Roman" w:hAnsi="Arial" w:cs="Arial"/>
          <w:color w:val="000000"/>
          <w:sz w:val="24"/>
          <w:szCs w:val="24"/>
        </w:rPr>
        <w:t> ), Reglas para el Uso de Reclusión y Restricción en las Escuelas (regulación </w:t>
      </w:r>
      <w:hyperlink r:id="rId101" w:history="1">
        <w:r w:rsidRPr="00114F53">
          <w:rPr>
            <w:rFonts w:ascii="Arial" w:eastAsia="Times New Roman" w:hAnsi="Arial" w:cs="Arial"/>
            <w:color w:val="0000FF"/>
            <w:sz w:val="24"/>
            <w:szCs w:val="24"/>
            <w:u w:val="single"/>
          </w:rPr>
          <w:t>4302-R</w:t>
        </w:r>
      </w:hyperlink>
      <w:r w:rsidRPr="00114F53">
        <w:rPr>
          <w:rFonts w:ascii="Arial" w:eastAsia="Times New Roman" w:hAnsi="Arial" w:cs="Arial"/>
          <w:color w:val="000000"/>
          <w:sz w:val="24"/>
          <w:szCs w:val="24"/>
        </w:rPr>
        <w:t xml:space="preserve"> ), Plan </w:t>
      </w:r>
      <w:r w:rsidRPr="00114F53">
        <w:rPr>
          <w:rFonts w:ascii="Arial" w:eastAsia="Times New Roman" w:hAnsi="Arial" w:cs="Arial"/>
          <w:color w:val="000000"/>
          <w:sz w:val="24"/>
          <w:szCs w:val="24"/>
        </w:rPr>
        <w:lastRenderedPageBreak/>
        <w:t>Escolar para el Manejo del Comportamiento Estudiantil (política </w:t>
      </w:r>
      <w:hyperlink r:id="rId102" w:history="1">
        <w:r w:rsidRPr="00114F53">
          <w:rPr>
            <w:rFonts w:ascii="Arial" w:eastAsia="Times New Roman" w:hAnsi="Arial" w:cs="Arial"/>
            <w:color w:val="0000FF"/>
            <w:sz w:val="24"/>
            <w:szCs w:val="24"/>
            <w:u w:val="single"/>
          </w:rPr>
          <w:t>4302</w:t>
        </w:r>
      </w:hyperlink>
      <w:r w:rsidRPr="00114F53">
        <w:rPr>
          <w:rFonts w:ascii="Arial" w:eastAsia="Times New Roman" w:hAnsi="Arial" w:cs="Arial"/>
          <w:color w:val="000000"/>
          <w:sz w:val="24"/>
          <w:szCs w:val="24"/>
        </w:rPr>
        <w:t> ), Conducta Prohibida de Intimidación y Acoso (política </w:t>
      </w:r>
      <w:hyperlink r:id="rId103" w:history="1">
        <w:r w:rsidRPr="00114F53">
          <w:rPr>
            <w:rFonts w:ascii="Arial" w:eastAsia="Times New Roman" w:hAnsi="Arial" w:cs="Arial"/>
            <w:color w:val="0000FF"/>
            <w:sz w:val="24"/>
            <w:szCs w:val="24"/>
            <w:u w:val="single"/>
          </w:rPr>
          <w:t>4329/7311</w:t>
        </w:r>
      </w:hyperlink>
      <w:r w:rsidRPr="00114F53">
        <w:rPr>
          <w:rFonts w:ascii="Arial" w:eastAsia="Times New Roman" w:hAnsi="Arial" w:cs="Arial"/>
          <w:color w:val="000000"/>
          <w:sz w:val="24"/>
          <w:szCs w:val="24"/>
        </w:rPr>
        <w:t> ), Cuotas Estudiantiles ( política </w:t>
      </w:r>
      <w:hyperlink r:id="rId104" w:history="1">
        <w:r w:rsidRPr="00114F53">
          <w:rPr>
            <w:rFonts w:ascii="Arial" w:eastAsia="Times New Roman" w:hAnsi="Arial" w:cs="Arial"/>
            <w:color w:val="0000FF"/>
            <w:sz w:val="24"/>
            <w:szCs w:val="24"/>
            <w:u w:val="single"/>
          </w:rPr>
          <w:t>4600</w:t>
        </w:r>
      </w:hyperlink>
      <w:r w:rsidRPr="00114F53">
        <w:rPr>
          <w:rFonts w:ascii="Arial" w:eastAsia="Times New Roman" w:hAnsi="Arial" w:cs="Arial"/>
          <w:color w:val="000000"/>
          <w:sz w:val="24"/>
          <w:szCs w:val="24"/>
        </w:rPr>
        <w:t> ), Expedientes estudiantiles (política </w:t>
      </w:r>
      <w:hyperlink r:id="rId105" w:history="1">
        <w:r w:rsidRPr="00114F53">
          <w:rPr>
            <w:rFonts w:ascii="Arial" w:eastAsia="Times New Roman" w:hAnsi="Arial" w:cs="Arial"/>
            <w:color w:val="0000FF"/>
            <w:sz w:val="24"/>
            <w:szCs w:val="24"/>
            <w:u w:val="single"/>
          </w:rPr>
          <w:t>4700</w:t>
        </w:r>
      </w:hyperlink>
      <w:r w:rsidRPr="00114F53">
        <w:rPr>
          <w:rFonts w:ascii="Arial" w:eastAsia="Times New Roman" w:hAnsi="Arial" w:cs="Arial"/>
          <w:color w:val="000000"/>
          <w:sz w:val="24"/>
          <w:szCs w:val="24"/>
        </w:rPr>
        <w:t>), Encuestas de estudiantes (política </w:t>
      </w:r>
      <w:hyperlink r:id="rId106" w:history="1">
        <w:r w:rsidRPr="00114F53">
          <w:rPr>
            <w:rFonts w:ascii="Arial" w:eastAsia="Times New Roman" w:hAnsi="Arial" w:cs="Arial"/>
            <w:color w:val="0000FF"/>
            <w:sz w:val="24"/>
            <w:szCs w:val="24"/>
            <w:u w:val="single"/>
          </w:rPr>
          <w:t>4720</w:t>
        </w:r>
      </w:hyperlink>
      <w:r w:rsidRPr="00114F53">
        <w:rPr>
          <w:rFonts w:ascii="Arial" w:eastAsia="Times New Roman" w:hAnsi="Arial" w:cs="Arial"/>
          <w:color w:val="000000"/>
          <w:sz w:val="24"/>
          <w:szCs w:val="24"/>
        </w:rPr>
        <w:t> ), Voluntarios escolares (política </w:t>
      </w:r>
      <w:hyperlink r:id="rId107" w:history="1">
        <w:r w:rsidRPr="00114F53">
          <w:rPr>
            <w:rFonts w:ascii="Arial" w:eastAsia="Times New Roman" w:hAnsi="Arial" w:cs="Arial"/>
            <w:color w:val="0000FF"/>
            <w:sz w:val="24"/>
            <w:szCs w:val="24"/>
            <w:u w:val="single"/>
          </w:rPr>
          <w:t>5015</w:t>
        </w:r>
      </w:hyperlink>
      <w:r w:rsidRPr="00114F53">
        <w:rPr>
          <w:rFonts w:ascii="Arial" w:eastAsia="Times New Roman" w:hAnsi="Arial" w:cs="Arial"/>
          <w:color w:val="000000"/>
          <w:sz w:val="24"/>
          <w:szCs w:val="24"/>
        </w:rPr>
        <w:t> ), Delincuentes sexuales registrados (política </w:t>
      </w:r>
      <w:hyperlink r:id="rId108" w:history="1">
        <w:r w:rsidRPr="00114F53">
          <w:rPr>
            <w:rFonts w:ascii="Arial" w:eastAsia="Times New Roman" w:hAnsi="Arial" w:cs="Arial"/>
            <w:color w:val="0000FF"/>
            <w:sz w:val="24"/>
            <w:szCs w:val="24"/>
            <w:u w:val="single"/>
          </w:rPr>
          <w:t>5022</w:t>
        </w:r>
      </w:hyperlink>
      <w:r w:rsidRPr="00114F53">
        <w:rPr>
          <w:rFonts w:ascii="Arial" w:eastAsia="Times New Roman" w:hAnsi="Arial" w:cs="Arial"/>
          <w:color w:val="000000"/>
          <w:sz w:val="24"/>
          <w:szCs w:val="24"/>
        </w:rPr>
        <w:t> ), Administración de medicamentos a los estudiantes (política </w:t>
      </w:r>
      <w:hyperlink r:id="rId109" w:history="1">
        <w:r w:rsidRPr="00114F53">
          <w:rPr>
            <w:rFonts w:ascii="Arial" w:eastAsia="Times New Roman" w:hAnsi="Arial" w:cs="Arial"/>
            <w:color w:val="0000FF"/>
            <w:sz w:val="24"/>
            <w:szCs w:val="24"/>
            <w:u w:val="single"/>
          </w:rPr>
          <w:t>6125</w:t>
        </w:r>
      </w:hyperlink>
      <w:r w:rsidRPr="00114F53">
        <w:rPr>
          <w:rFonts w:ascii="Arial" w:eastAsia="Times New Roman" w:hAnsi="Arial" w:cs="Arial"/>
          <w:color w:val="000000"/>
          <w:sz w:val="24"/>
          <w:szCs w:val="24"/>
        </w:rPr>
        <w:t> ), Bienestar estudiantil (política </w:t>
      </w:r>
      <w:hyperlink r:id="rId110" w:history="1">
        <w:r w:rsidRPr="00114F53">
          <w:rPr>
            <w:rFonts w:ascii="Arial" w:eastAsia="Times New Roman" w:hAnsi="Arial" w:cs="Arial"/>
            <w:color w:val="0000FF"/>
            <w:sz w:val="24"/>
            <w:szCs w:val="24"/>
            <w:u w:val="single"/>
          </w:rPr>
          <w:t>6140</w:t>
        </w:r>
      </w:hyperlink>
      <w:r w:rsidRPr="00114F53">
        <w:rPr>
          <w:rFonts w:ascii="Arial" w:eastAsia="Times New Roman" w:hAnsi="Arial" w:cs="Arial"/>
          <w:color w:val="000000"/>
          <w:sz w:val="24"/>
          <w:szCs w:val="24"/>
        </w:rPr>
        <w:t> ), Servicios de comidas gratis o a precio reducido (política </w:t>
      </w:r>
      <w:hyperlink r:id="rId111" w:history="1">
        <w:r w:rsidRPr="00114F53">
          <w:rPr>
            <w:rFonts w:ascii="Arial" w:eastAsia="Times New Roman" w:hAnsi="Arial" w:cs="Arial"/>
            <w:color w:val="0000FF"/>
            <w:sz w:val="24"/>
            <w:szCs w:val="24"/>
            <w:u w:val="single"/>
          </w:rPr>
          <w:t>6225</w:t>
        </w:r>
      </w:hyperlink>
      <w:r w:rsidRPr="00114F53">
        <w:rPr>
          <w:rFonts w:ascii="Arial" w:eastAsia="Times New Roman" w:hAnsi="Arial" w:cs="Arial"/>
          <w:color w:val="000000"/>
          <w:sz w:val="24"/>
          <w:szCs w:val="24"/>
        </w:rPr>
        <w:t> ), Manejo de Plagas (política </w:t>
      </w:r>
      <w:hyperlink r:id="rId112" w:history="1">
        <w:r w:rsidRPr="00114F53">
          <w:rPr>
            <w:rFonts w:ascii="Arial" w:eastAsia="Times New Roman" w:hAnsi="Arial" w:cs="Arial"/>
            <w:color w:val="0000FF"/>
            <w:sz w:val="24"/>
            <w:szCs w:val="24"/>
            <w:u w:val="single"/>
          </w:rPr>
          <w:t>9205</w:t>
        </w:r>
      </w:hyperlink>
      <w:r w:rsidRPr="00114F53">
        <w:rPr>
          <w:rFonts w:ascii="Arial" w:eastAsia="Times New Roman" w:hAnsi="Arial" w:cs="Arial"/>
          <w:color w:val="000000"/>
          <w:sz w:val="24"/>
          <w:szCs w:val="24"/>
        </w:rPr>
        <w:t> )</w:t>
      </w:r>
    </w:p>
    <w:p w:rsidR="00114F53" w:rsidRPr="00114F53" w:rsidRDefault="00114F53" w:rsidP="00114F53">
      <w:pPr>
        <w:spacing w:before="100" w:beforeAutospacing="1" w:after="100" w:afterAutospacing="1" w:line="240" w:lineRule="auto"/>
        <w:rPr>
          <w:rFonts w:ascii="Arial" w:eastAsia="Times New Roman" w:hAnsi="Arial" w:cs="Arial"/>
          <w:color w:val="000000"/>
          <w:sz w:val="24"/>
          <w:szCs w:val="24"/>
        </w:rPr>
      </w:pPr>
      <w:r w:rsidRPr="00114F53">
        <w:rPr>
          <w:rFonts w:ascii="Arial" w:eastAsia="Times New Roman" w:hAnsi="Arial" w:cs="Arial"/>
          <w:color w:val="000000"/>
          <w:sz w:val="24"/>
          <w:szCs w:val="24"/>
        </w:rPr>
        <w:t>Adoptado: 21 de agosto de 2012</w:t>
      </w:r>
    </w:p>
    <w:p w:rsidR="00114F53" w:rsidRPr="00114F53" w:rsidRDefault="00114F53" w:rsidP="00114F53">
      <w:pPr>
        <w:spacing w:before="100" w:beforeAutospacing="1" w:after="100" w:afterAutospacing="1" w:line="240" w:lineRule="auto"/>
        <w:rPr>
          <w:rFonts w:ascii="Arial" w:eastAsia="Times New Roman" w:hAnsi="Arial" w:cs="Arial"/>
          <w:color w:val="000000"/>
          <w:sz w:val="24"/>
          <w:szCs w:val="24"/>
        </w:rPr>
      </w:pPr>
      <w:r w:rsidRPr="00114F53">
        <w:rPr>
          <w:rFonts w:ascii="Arial" w:eastAsia="Times New Roman" w:hAnsi="Arial" w:cs="Arial"/>
          <w:color w:val="000000"/>
          <w:sz w:val="24"/>
          <w:szCs w:val="24"/>
        </w:rPr>
        <w:t>Revisado: 29 de abril de 2014; 6 de noviembre de 2014; 1 de diciembre de 2015; 7 de febrero de 2017; 6 de junio de 2017; 10 de julio de 2018; 7 de mayo de 2019; 3 de febrero de 2020; 4 de agosto de 2020; 2 de marzo de 2021; 10 de agosto de 2021 (Solo referencias legales)</w:t>
      </w:r>
    </w:p>
    <w:p w:rsidR="003B1747" w:rsidRDefault="003B1747"/>
    <w:sectPr w:rsidR="003B17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F53"/>
    <w:rsid w:val="00114F53"/>
    <w:rsid w:val="003B1747"/>
    <w:rsid w:val="00496EA5"/>
    <w:rsid w:val="00504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D8F91"/>
  <w15:chartTrackingRefBased/>
  <w15:docId w15:val="{85ED29AA-F5FB-46E9-9748-A0549E68E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14F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F5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14F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4F53"/>
    <w:rPr>
      <w:b/>
      <w:bCs/>
    </w:rPr>
  </w:style>
  <w:style w:type="character" w:styleId="Hyperlink">
    <w:name w:val="Hyperlink"/>
    <w:basedOn w:val="DefaultParagraphFont"/>
    <w:uiPriority w:val="99"/>
    <w:semiHidden/>
    <w:unhideWhenUsed/>
    <w:rsid w:val="00114F53"/>
    <w:rPr>
      <w:color w:val="0000FF"/>
      <w:u w:val="single"/>
    </w:rPr>
  </w:style>
  <w:style w:type="character" w:styleId="Emphasis">
    <w:name w:val="Emphasis"/>
    <w:basedOn w:val="DefaultParagraphFont"/>
    <w:uiPriority w:val="20"/>
    <w:qFormat/>
    <w:rsid w:val="00114F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719338">
      <w:bodyDiv w:val="1"/>
      <w:marLeft w:val="0"/>
      <w:marRight w:val="0"/>
      <w:marTop w:val="0"/>
      <w:marBottom w:val="0"/>
      <w:divBdr>
        <w:top w:val="none" w:sz="0" w:space="0" w:color="auto"/>
        <w:left w:val="none" w:sz="0" w:space="0" w:color="auto"/>
        <w:bottom w:val="none" w:sz="0" w:space="0" w:color="auto"/>
        <w:right w:val="none" w:sz="0" w:space="0" w:color="auto"/>
      </w:divBdr>
      <w:divsChild>
        <w:div w:id="1312446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doJump(147176)" TargetMode="External"/><Relationship Id="rId21" Type="http://schemas.openxmlformats.org/officeDocument/2006/relationships/hyperlink" Target="javascript:doJump(147184)" TargetMode="External"/><Relationship Id="rId42" Type="http://schemas.openxmlformats.org/officeDocument/2006/relationships/hyperlink" Target="http://redirector.microscribepub.com/?cat=usc&amp;loc=us&amp;id=15-2641&amp;" TargetMode="External"/><Relationship Id="rId47" Type="http://schemas.openxmlformats.org/officeDocument/2006/relationships/hyperlink" Target="http://redirector.microscribepub.com/?cat=usc&amp;loc=us&amp;id=20-1232g&amp;" TargetMode="External"/><Relationship Id="rId63" Type="http://schemas.openxmlformats.org/officeDocument/2006/relationships/hyperlink" Target="http://redirector.microscribepub.com/?cat=usc&amp;loc=us&amp;id=20-7908&amp;" TargetMode="External"/><Relationship Id="rId68" Type="http://schemas.openxmlformats.org/officeDocument/2006/relationships/hyperlink" Target="http://redirector.microscribepub.com/?cat=stat&amp;loc=nc&amp;id=115c&amp;spec=47" TargetMode="External"/><Relationship Id="rId84" Type="http://schemas.openxmlformats.org/officeDocument/2006/relationships/hyperlink" Target="http://redirector.microscribepub.com/?cat=pol&amp;loc=nc&amp;id=test-001&amp;" TargetMode="External"/><Relationship Id="rId89" Type="http://schemas.openxmlformats.org/officeDocument/2006/relationships/hyperlink" Target="javascript:doJump(147015)" TargetMode="External"/><Relationship Id="rId112" Type="http://schemas.openxmlformats.org/officeDocument/2006/relationships/hyperlink" Target="javascript:doJump(147388)" TargetMode="External"/><Relationship Id="rId16" Type="http://schemas.openxmlformats.org/officeDocument/2006/relationships/hyperlink" Target="javascript:doJump(147227)" TargetMode="External"/><Relationship Id="rId107" Type="http://schemas.openxmlformats.org/officeDocument/2006/relationships/hyperlink" Target="javascript:doJump(147184)" TargetMode="External"/><Relationship Id="rId11" Type="http://schemas.openxmlformats.org/officeDocument/2006/relationships/hyperlink" Target="javascript:doJump(920963)" TargetMode="External"/><Relationship Id="rId32" Type="http://schemas.openxmlformats.org/officeDocument/2006/relationships/hyperlink" Target="javascript:doJump(147180)" TargetMode="External"/><Relationship Id="rId37" Type="http://schemas.openxmlformats.org/officeDocument/2006/relationships/hyperlink" Target="javascript:doJump(147095)" TargetMode="External"/><Relationship Id="rId53" Type="http://schemas.openxmlformats.org/officeDocument/2006/relationships/hyperlink" Target="http://redirector.microscribepub.com/?cat=cfr&amp;loc=us&amp;id=7&amp;spec=245" TargetMode="External"/><Relationship Id="rId58" Type="http://schemas.openxmlformats.org/officeDocument/2006/relationships/hyperlink" Target="http://redirector.microscribepub.com/?cat=cfr&amp;loc=us&amp;id=34&amp;spec=104" TargetMode="External"/><Relationship Id="rId74" Type="http://schemas.openxmlformats.org/officeDocument/2006/relationships/hyperlink" Target="http://redirector.microscribepub.com/?cat=stat&amp;loc=nc&amp;id=115c&amp;spec=109.1" TargetMode="External"/><Relationship Id="rId79" Type="http://schemas.openxmlformats.org/officeDocument/2006/relationships/hyperlink" Target="http://redirector.microscribepub.com/?cat=stat&amp;loc=nc&amp;id=115c&amp;spec=391.1" TargetMode="External"/><Relationship Id="rId102" Type="http://schemas.openxmlformats.org/officeDocument/2006/relationships/hyperlink" Target="javascript:doJump(147145)" TargetMode="External"/><Relationship Id="rId5" Type="http://schemas.openxmlformats.org/officeDocument/2006/relationships/hyperlink" Target="javascript:doJump(147003)" TargetMode="External"/><Relationship Id="rId90" Type="http://schemas.openxmlformats.org/officeDocument/2006/relationships/hyperlink" Target="javascript:doJump(147076)" TargetMode="External"/><Relationship Id="rId95" Type="http://schemas.openxmlformats.org/officeDocument/2006/relationships/hyperlink" Target="javascript:doJump(147097)" TargetMode="External"/><Relationship Id="rId22" Type="http://schemas.openxmlformats.org/officeDocument/2006/relationships/hyperlink" Target="javascript:doJump(920576)" TargetMode="External"/><Relationship Id="rId27" Type="http://schemas.openxmlformats.org/officeDocument/2006/relationships/hyperlink" Target="javascript:doJump(147177)" TargetMode="External"/><Relationship Id="rId43" Type="http://schemas.openxmlformats.org/officeDocument/2006/relationships/hyperlink" Target="http://redirector.microscribepub.com/?cat=usc&amp;loc=us&amp;id=20-7905&amp;" TargetMode="External"/><Relationship Id="rId48" Type="http://schemas.openxmlformats.org/officeDocument/2006/relationships/hyperlink" Target="http://redirector.microscribepub.com/?cat=cfr&amp;loc=us&amp;id=34&amp;spec=99" TargetMode="External"/><Relationship Id="rId64" Type="http://schemas.openxmlformats.org/officeDocument/2006/relationships/hyperlink" Target="http://redirector.microscribepub.com/?cat=stat&amp;loc=nc&amp;id=90&amp;spec=21.1" TargetMode="External"/><Relationship Id="rId69" Type="http://schemas.openxmlformats.org/officeDocument/2006/relationships/hyperlink" Target="http://redirector.microscribepub.com/?cat=stat&amp;loc=nc&amp;id=115c&amp;spec=47" TargetMode="External"/><Relationship Id="rId113" Type="http://schemas.openxmlformats.org/officeDocument/2006/relationships/fontTable" Target="fontTable.xml"/><Relationship Id="rId80" Type="http://schemas.openxmlformats.org/officeDocument/2006/relationships/hyperlink" Target="http://redirector.microscribepub.com/?cat=stat&amp;loc=nc&amp;id=115c&amp;spec=407.16" TargetMode="External"/><Relationship Id="rId85" Type="http://schemas.openxmlformats.org/officeDocument/2006/relationships/hyperlink" Target="javascript:doJump(147003)" TargetMode="External"/><Relationship Id="rId12" Type="http://schemas.openxmlformats.org/officeDocument/2006/relationships/hyperlink" Target="javascript:doJump(147015)" TargetMode="External"/><Relationship Id="rId17" Type="http://schemas.openxmlformats.org/officeDocument/2006/relationships/hyperlink" Target="javascript:doJump(147014)" TargetMode="External"/><Relationship Id="rId33" Type="http://schemas.openxmlformats.org/officeDocument/2006/relationships/hyperlink" Target="javascript:doJump(147180)" TargetMode="External"/><Relationship Id="rId38" Type="http://schemas.openxmlformats.org/officeDocument/2006/relationships/hyperlink" Target="javascript:doJump(147180)" TargetMode="External"/><Relationship Id="rId59" Type="http://schemas.openxmlformats.org/officeDocument/2006/relationships/hyperlink" Target="http://redirector.microscribepub.com/?cat=usc&amp;loc=us&amp;id=42-2000d&amp;" TargetMode="External"/><Relationship Id="rId103" Type="http://schemas.openxmlformats.org/officeDocument/2006/relationships/hyperlink" Target="javascript:doJump(920963)" TargetMode="External"/><Relationship Id="rId108" Type="http://schemas.openxmlformats.org/officeDocument/2006/relationships/hyperlink" Target="javascript:doJump(147187)" TargetMode="External"/><Relationship Id="rId54" Type="http://schemas.openxmlformats.org/officeDocument/2006/relationships/hyperlink" Target="http://redirector.microscribepub.com/?cat=usc&amp;loc=us&amp;id=20-1232h&amp;" TargetMode="External"/><Relationship Id="rId70" Type="http://schemas.openxmlformats.org/officeDocument/2006/relationships/hyperlink" Target="http://redirector.microscribepub.com/?cat=stat&amp;loc=nc&amp;id=115c&amp;spec=81.25" TargetMode="External"/><Relationship Id="rId75" Type="http://schemas.openxmlformats.org/officeDocument/2006/relationships/hyperlink" Target="http://redirector.microscribepub.com/?cat=stat&amp;loc=nc&amp;id=115c&amp;spec=174.26" TargetMode="External"/><Relationship Id="rId91" Type="http://schemas.openxmlformats.org/officeDocument/2006/relationships/hyperlink" Target="javascript:doJump(147082)" TargetMode="External"/><Relationship Id="rId96" Type="http://schemas.openxmlformats.org/officeDocument/2006/relationships/hyperlink" Target="javascript:doJump(147101)" TargetMode="External"/><Relationship Id="rId1" Type="http://schemas.openxmlformats.org/officeDocument/2006/relationships/styles" Target="styles.xml"/><Relationship Id="rId6" Type="http://schemas.openxmlformats.org/officeDocument/2006/relationships/hyperlink" Target="javascript:doJump(147177)" TargetMode="External"/><Relationship Id="rId15" Type="http://schemas.openxmlformats.org/officeDocument/2006/relationships/hyperlink" Target="javascript:doJump(147101)" TargetMode="External"/><Relationship Id="rId23" Type="http://schemas.openxmlformats.org/officeDocument/2006/relationships/hyperlink" Target="javascript:doJump(920613)" TargetMode="External"/><Relationship Id="rId28" Type="http://schemas.openxmlformats.org/officeDocument/2006/relationships/hyperlink" Target="javascript:doJump(147177)" TargetMode="External"/><Relationship Id="rId36" Type="http://schemas.openxmlformats.org/officeDocument/2006/relationships/hyperlink" Target="javascript:doJump(147136)" TargetMode="External"/><Relationship Id="rId49" Type="http://schemas.openxmlformats.org/officeDocument/2006/relationships/hyperlink" Target="http://redirector.microscribepub.com/?cat=usc&amp;loc=us&amp;id=20-1400&amp;" TargetMode="External"/><Relationship Id="rId57" Type="http://schemas.openxmlformats.org/officeDocument/2006/relationships/hyperlink" Target="http://redirector.microscribepub.com/?cat=usc&amp;loc=us&amp;id=29-794&amp;" TargetMode="External"/><Relationship Id="rId106" Type="http://schemas.openxmlformats.org/officeDocument/2006/relationships/hyperlink" Target="javascript:doJump(147180)" TargetMode="External"/><Relationship Id="rId114" Type="http://schemas.openxmlformats.org/officeDocument/2006/relationships/theme" Target="theme/theme1.xml"/><Relationship Id="rId10" Type="http://schemas.openxmlformats.org/officeDocument/2006/relationships/hyperlink" Target="javascript:doJump(147146)" TargetMode="External"/><Relationship Id="rId31" Type="http://schemas.openxmlformats.org/officeDocument/2006/relationships/hyperlink" Target="javascript:doJump(147139)" TargetMode="External"/><Relationship Id="rId44" Type="http://schemas.openxmlformats.org/officeDocument/2006/relationships/hyperlink" Target="http://redirector.microscribepub.com/?cat=cfr&amp;loc=us&amp;id=34&amp;spec=108.9" TargetMode="External"/><Relationship Id="rId52" Type="http://schemas.openxmlformats.org/officeDocument/2006/relationships/hyperlink" Target="http://redirector.microscribepub.com/?cat=cfr&amp;loc=us&amp;id=7&amp;spec=210.12" TargetMode="External"/><Relationship Id="rId60" Type="http://schemas.openxmlformats.org/officeDocument/2006/relationships/hyperlink" Target="http://redirector.microscribepub.com/?cat=cfr&amp;loc=us&amp;id=34&amp;spec=100" TargetMode="External"/><Relationship Id="rId65" Type="http://schemas.openxmlformats.org/officeDocument/2006/relationships/hyperlink" Target="http://redirector.microscribepub.com/?cat=stat&amp;loc=nc&amp;id=95&amp;spec=28.3" TargetMode="External"/><Relationship Id="rId73" Type="http://schemas.openxmlformats.org/officeDocument/2006/relationships/hyperlink" Target="http://redirector.microscribepub.com/?cat=stat&amp;loc=nc&amp;id=115c&amp;spec=105.41" TargetMode="External"/><Relationship Id="rId78" Type="http://schemas.openxmlformats.org/officeDocument/2006/relationships/hyperlink" Target="http://redirector.microscribepub.com/?cat=stat&amp;loc=nc&amp;id=115c&amp;spec=390.2" TargetMode="External"/><Relationship Id="rId81" Type="http://schemas.openxmlformats.org/officeDocument/2006/relationships/hyperlink" Target="http://redirector.microscribepub.com/?cat=code&amp;loc=nc&amp;id=16&amp;spec=6d.0307" TargetMode="External"/><Relationship Id="rId86" Type="http://schemas.openxmlformats.org/officeDocument/2006/relationships/hyperlink" Target="javascript:doJump(920576)" TargetMode="External"/><Relationship Id="rId94" Type="http://schemas.openxmlformats.org/officeDocument/2006/relationships/hyperlink" Target="javascript:doJump(147095)" TargetMode="External"/><Relationship Id="rId99" Type="http://schemas.openxmlformats.org/officeDocument/2006/relationships/hyperlink" Target="javascript:doJump(147139)" TargetMode="External"/><Relationship Id="rId101" Type="http://schemas.openxmlformats.org/officeDocument/2006/relationships/hyperlink" Target="javascript:doJump(147146)" TargetMode="External"/><Relationship Id="rId4" Type="http://schemas.openxmlformats.org/officeDocument/2006/relationships/hyperlink" Target="javascript:doJump(147083)" TargetMode="External"/><Relationship Id="rId9" Type="http://schemas.openxmlformats.org/officeDocument/2006/relationships/hyperlink" Target="javascript:doJump(147143)" TargetMode="External"/><Relationship Id="rId13" Type="http://schemas.openxmlformats.org/officeDocument/2006/relationships/hyperlink" Target="javascript:doJump(147082)" TargetMode="External"/><Relationship Id="rId18" Type="http://schemas.openxmlformats.org/officeDocument/2006/relationships/hyperlink" Target="javascript:doJump(147123)" TargetMode="External"/><Relationship Id="rId39" Type="http://schemas.openxmlformats.org/officeDocument/2006/relationships/hyperlink" Target="javascript:doJump(147076)" TargetMode="External"/><Relationship Id="rId109" Type="http://schemas.openxmlformats.org/officeDocument/2006/relationships/hyperlink" Target="javascript:doJump(147215)" TargetMode="External"/><Relationship Id="rId34" Type="http://schemas.openxmlformats.org/officeDocument/2006/relationships/hyperlink" Target="javascript:doJump(147215)" TargetMode="External"/><Relationship Id="rId50" Type="http://schemas.openxmlformats.org/officeDocument/2006/relationships/hyperlink" Target="http://redirector.microscribepub.com/?cat=usc&amp;loc=us&amp;id=42-11431&amp;" TargetMode="External"/><Relationship Id="rId55" Type="http://schemas.openxmlformats.org/officeDocument/2006/relationships/hyperlink" Target="http://redirector.microscribepub.com/?cat=cfr&amp;loc=us&amp;id=34&amp;spec=98" TargetMode="External"/><Relationship Id="rId76" Type="http://schemas.openxmlformats.org/officeDocument/2006/relationships/hyperlink" Target="http://redirector.microscribepub.com/?cat=stat&amp;loc=nc&amp;id=115c&amp;spec=307" TargetMode="External"/><Relationship Id="rId97" Type="http://schemas.openxmlformats.org/officeDocument/2006/relationships/hyperlink" Target="javascript:doJump(147123)" TargetMode="External"/><Relationship Id="rId104" Type="http://schemas.openxmlformats.org/officeDocument/2006/relationships/hyperlink" Target="javascript:doJump(147176)" TargetMode="External"/><Relationship Id="rId7" Type="http://schemas.openxmlformats.org/officeDocument/2006/relationships/hyperlink" Target="javascript:doJump(147180)" TargetMode="External"/><Relationship Id="rId71" Type="http://schemas.openxmlformats.org/officeDocument/2006/relationships/hyperlink" Target="http://redirector.microscribepub.com/?cat=stat&amp;loc=nc&amp;id=115c&amp;spec=81.30" TargetMode="External"/><Relationship Id="rId92" Type="http://schemas.openxmlformats.org/officeDocument/2006/relationships/hyperlink" Target="javascript:doJump(147083)" TargetMode="External"/><Relationship Id="rId2" Type="http://schemas.openxmlformats.org/officeDocument/2006/relationships/settings" Target="settings.xml"/><Relationship Id="rId29" Type="http://schemas.openxmlformats.org/officeDocument/2006/relationships/hyperlink" Target="javascript:doJump(147097)" TargetMode="External"/><Relationship Id="rId24" Type="http://schemas.openxmlformats.org/officeDocument/2006/relationships/hyperlink" Target="javascript:doJump(147014)" TargetMode="External"/><Relationship Id="rId40" Type="http://schemas.openxmlformats.org/officeDocument/2006/relationships/hyperlink" Target="http://redirector.microscribepub.com/?cat=usc&amp;loc=us&amp;id=42-12101&amp;" TargetMode="External"/><Relationship Id="rId45" Type="http://schemas.openxmlformats.org/officeDocument/2006/relationships/hyperlink" Target="http://redirector.microscribepub.com/?cat=usc&amp;loc=us&amp;id=20-6301&amp;" TargetMode="External"/><Relationship Id="rId66" Type="http://schemas.openxmlformats.org/officeDocument/2006/relationships/hyperlink" Target="http://redirector.microscribepub.com/?cat=stat&amp;loc=nc&amp;id=115c&amp;spec=47" TargetMode="External"/><Relationship Id="rId87" Type="http://schemas.openxmlformats.org/officeDocument/2006/relationships/hyperlink" Target="javascript:doJump(920613)" TargetMode="External"/><Relationship Id="rId110" Type="http://schemas.openxmlformats.org/officeDocument/2006/relationships/hyperlink" Target="javascript:doJump(147222)" TargetMode="External"/><Relationship Id="rId61" Type="http://schemas.openxmlformats.org/officeDocument/2006/relationships/hyperlink" Target="http://redirector.microscribepub.com/?cat=usc&amp;loc=us&amp;id=20-1681&amp;" TargetMode="External"/><Relationship Id="rId82" Type="http://schemas.openxmlformats.org/officeDocument/2006/relationships/hyperlink" Target="http://redirector.microscribepub.com/?cat=pol&amp;loc=nc&amp;id=knec-002&amp;" TargetMode="External"/><Relationship Id="rId19" Type="http://schemas.openxmlformats.org/officeDocument/2006/relationships/hyperlink" Target="javascript:doJump(147222)" TargetMode="External"/><Relationship Id="rId14" Type="http://schemas.openxmlformats.org/officeDocument/2006/relationships/hyperlink" Target="javascript:doJump(147090)" TargetMode="External"/><Relationship Id="rId30" Type="http://schemas.openxmlformats.org/officeDocument/2006/relationships/hyperlink" Target="javascript:doJump(147101)" TargetMode="External"/><Relationship Id="rId35" Type="http://schemas.openxmlformats.org/officeDocument/2006/relationships/hyperlink" Target="javascript:doJump(147177)" TargetMode="External"/><Relationship Id="rId56" Type="http://schemas.openxmlformats.org/officeDocument/2006/relationships/hyperlink" Target="http://redirector.microscribepub.com/?cat=usc&amp;loc=us&amp;id=29-705&amp;" TargetMode="External"/><Relationship Id="rId77" Type="http://schemas.openxmlformats.org/officeDocument/2006/relationships/hyperlink" Target="http://redirector.microscribepub.com/?cat=stat&amp;loc=nc&amp;id=115c&amp;spec=375.4" TargetMode="External"/><Relationship Id="rId100" Type="http://schemas.openxmlformats.org/officeDocument/2006/relationships/hyperlink" Target="javascript:doJump(147143)" TargetMode="External"/><Relationship Id="rId105" Type="http://schemas.openxmlformats.org/officeDocument/2006/relationships/hyperlink" Target="javascript:doJump(147177)" TargetMode="External"/><Relationship Id="rId8" Type="http://schemas.openxmlformats.org/officeDocument/2006/relationships/hyperlink" Target="javascript:doJump(147388)" TargetMode="External"/><Relationship Id="rId51" Type="http://schemas.openxmlformats.org/officeDocument/2006/relationships/hyperlink" Target="http://redirector.microscribepub.com/?cat=usc&amp;loc=us&amp;id=42-1751&amp;" TargetMode="External"/><Relationship Id="rId72" Type="http://schemas.openxmlformats.org/officeDocument/2006/relationships/hyperlink" Target="http://redirector.microscribepub.com/?cat=stat&amp;loc=nc&amp;id=115c&amp;spec=81.36" TargetMode="External"/><Relationship Id="rId93" Type="http://schemas.openxmlformats.org/officeDocument/2006/relationships/hyperlink" Target="javascript:doJump(147090)" TargetMode="External"/><Relationship Id="rId98" Type="http://schemas.openxmlformats.org/officeDocument/2006/relationships/hyperlink" Target="javascript:doJump(147136)" TargetMode="External"/><Relationship Id="rId3" Type="http://schemas.openxmlformats.org/officeDocument/2006/relationships/webSettings" Target="webSettings.xml"/><Relationship Id="rId25" Type="http://schemas.openxmlformats.org/officeDocument/2006/relationships/hyperlink" Target="javascript:doJump(920576)" TargetMode="External"/><Relationship Id="rId46" Type="http://schemas.openxmlformats.org/officeDocument/2006/relationships/hyperlink" Target="http://redirector.microscribepub.com/?cat=cfr&amp;loc=us&amp;id=34&amp;spec=200" TargetMode="External"/><Relationship Id="rId67" Type="http://schemas.openxmlformats.org/officeDocument/2006/relationships/hyperlink" Target="http://redirector.microscribepub.com/?cat=stat&amp;loc=nc&amp;id=115c&amp;spec=47" TargetMode="External"/><Relationship Id="rId20" Type="http://schemas.openxmlformats.org/officeDocument/2006/relationships/hyperlink" Target="http://redirector.microscribepub.com/?cat=stat&amp;loc=nc&amp;id=95&amp;spec=28.3" TargetMode="External"/><Relationship Id="rId41" Type="http://schemas.openxmlformats.org/officeDocument/2006/relationships/hyperlink" Target="http://redirector.microscribepub.com/?cat=cfr&amp;loc=us&amp;id=28&amp;spec=35" TargetMode="External"/><Relationship Id="rId62" Type="http://schemas.openxmlformats.org/officeDocument/2006/relationships/hyperlink" Target="http://redirector.microscribepub.com/?cat=cfr&amp;loc=us&amp;id=34&amp;spec=106" TargetMode="External"/><Relationship Id="rId83" Type="http://schemas.openxmlformats.org/officeDocument/2006/relationships/hyperlink" Target="http://redirector.microscribepub.com/?cat=pol&amp;loc=nc&amp;id=prnt-000&amp;" TargetMode="External"/><Relationship Id="rId88" Type="http://schemas.openxmlformats.org/officeDocument/2006/relationships/hyperlink" Target="javascript:doJump(147014)" TargetMode="External"/><Relationship Id="rId111" Type="http://schemas.openxmlformats.org/officeDocument/2006/relationships/hyperlink" Target="javascript:doJump(1472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3949</Words>
  <Characters>22515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jgoldsby</dc:creator>
  <cp:keywords/>
  <dc:description/>
  <cp:lastModifiedBy>Microsoft Office User</cp:lastModifiedBy>
  <cp:revision>2</cp:revision>
  <dcterms:created xsi:type="dcterms:W3CDTF">2022-01-24T15:08:00Z</dcterms:created>
  <dcterms:modified xsi:type="dcterms:W3CDTF">2022-01-24T16:08:00Z</dcterms:modified>
</cp:coreProperties>
</file>