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CD826" w14:textId="77777777" w:rsidR="009010AA" w:rsidRDefault="00DC4C2D">
      <w:r>
        <w:tab/>
      </w:r>
      <w:r>
        <w:tab/>
      </w:r>
      <w:r>
        <w:tab/>
      </w:r>
      <w:r>
        <w:tab/>
      </w:r>
      <w:r w:rsidR="006438E2">
        <w:rPr>
          <w:noProof/>
        </w:rPr>
        <w:drawing>
          <wp:anchor distT="0" distB="0" distL="114300" distR="114300" simplePos="0" relativeHeight="251661312" behindDoc="0" locked="0" layoutInCell="1" allowOverlap="1" wp14:anchorId="28DE2D8E" wp14:editId="6E866717">
            <wp:simplePos x="0" y="0"/>
            <wp:positionH relativeFrom="column">
              <wp:posOffset>51435</wp:posOffset>
            </wp:positionH>
            <wp:positionV relativeFrom="paragraph">
              <wp:posOffset>8255</wp:posOffset>
            </wp:positionV>
            <wp:extent cx="3341370" cy="1531620"/>
            <wp:effectExtent l="19050" t="0" r="0" b="0"/>
            <wp:wrapNone/>
            <wp:docPr id="3" name="Picture 1" descr="Z:\Kristina\final\Logo\logo_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Kristina\final\Logo\logo_final.bmp"/>
                    <pic:cNvPicPr>
                      <a:picLocks noChangeAspect="1" noChangeArrowheads="1"/>
                    </pic:cNvPicPr>
                  </pic:nvPicPr>
                  <pic:blipFill>
                    <a:blip r:embed="rId7" cstate="print"/>
                    <a:srcRect/>
                    <a:stretch>
                      <a:fillRect/>
                    </a:stretch>
                  </pic:blipFill>
                  <pic:spPr bwMode="auto">
                    <a:xfrm>
                      <a:off x="0" y="0"/>
                      <a:ext cx="3341370" cy="1531620"/>
                    </a:xfrm>
                    <a:prstGeom prst="rect">
                      <a:avLst/>
                    </a:prstGeom>
                    <a:noFill/>
                    <a:ln w="9525">
                      <a:noFill/>
                      <a:miter lim="800000"/>
                      <a:headEnd/>
                      <a:tailEnd/>
                    </a:ln>
                  </pic:spPr>
                </pic:pic>
              </a:graphicData>
            </a:graphic>
          </wp:anchor>
        </w:drawing>
      </w:r>
      <w:r w:rsidR="009010AA">
        <w:tab/>
      </w:r>
      <w:r w:rsidR="009010AA">
        <w:tab/>
      </w:r>
      <w:r w:rsidR="009010AA">
        <w:tab/>
      </w:r>
      <w:r w:rsidR="009010AA">
        <w:tab/>
      </w:r>
      <w:r w:rsidR="009010AA">
        <w:tab/>
      </w:r>
      <w:r w:rsidR="009010AA">
        <w:tab/>
      </w:r>
      <w:r w:rsidR="009010AA">
        <w:tab/>
      </w:r>
      <w:r w:rsidR="009010AA">
        <w:tab/>
      </w:r>
      <w:r w:rsidR="009010AA">
        <w:tab/>
      </w:r>
      <w:r w:rsidR="009010AA">
        <w:tab/>
      </w:r>
      <w:r w:rsidR="009010AA">
        <w:tab/>
      </w:r>
      <w:r w:rsidR="009010AA">
        <w:tab/>
      </w:r>
    </w:p>
    <w:p w14:paraId="29FCF94E" w14:textId="77777777" w:rsidR="006438E2" w:rsidRDefault="006438E2" w:rsidP="00DC4C2D">
      <w:pPr>
        <w:pStyle w:val="NoSpacing"/>
        <w:rPr>
          <w:rFonts w:ascii="Garamond" w:hAnsi="Garamond"/>
          <w:b/>
          <w:color w:val="244061" w:themeColor="accent1" w:themeShade="80"/>
          <w:sz w:val="18"/>
          <w:szCs w:val="18"/>
        </w:rPr>
      </w:pPr>
    </w:p>
    <w:p w14:paraId="68F4F475" w14:textId="77777777" w:rsidR="009010AA" w:rsidRPr="009B79E4" w:rsidRDefault="009010AA" w:rsidP="009B79E4">
      <w:pPr>
        <w:pStyle w:val="NoSpacing"/>
        <w:ind w:left="7200" w:firstLine="720"/>
        <w:rPr>
          <w:rFonts w:ascii="Garamond" w:hAnsi="Garamond"/>
          <w:b/>
          <w:color w:val="244061" w:themeColor="accent1" w:themeShade="80"/>
        </w:rPr>
      </w:pPr>
      <w:r w:rsidRPr="009B79E4">
        <w:rPr>
          <w:rFonts w:ascii="Garamond" w:hAnsi="Garamond"/>
          <w:b/>
          <w:color w:val="244061" w:themeColor="accent1" w:themeShade="80"/>
        </w:rPr>
        <w:t>P</w:t>
      </w:r>
      <w:r w:rsidR="00330168">
        <w:rPr>
          <w:rFonts w:ascii="Garamond" w:hAnsi="Garamond"/>
          <w:b/>
          <w:color w:val="244061" w:themeColor="accent1" w:themeShade="80"/>
        </w:rPr>
        <w:t xml:space="preserve">O </w:t>
      </w:r>
      <w:r w:rsidRPr="009B79E4">
        <w:rPr>
          <w:rFonts w:ascii="Garamond" w:hAnsi="Garamond"/>
          <w:b/>
          <w:color w:val="244061" w:themeColor="accent1" w:themeShade="80"/>
        </w:rPr>
        <w:t>Box 127</w:t>
      </w:r>
      <w:r w:rsidRPr="009B79E4">
        <w:rPr>
          <w:rFonts w:ascii="Garamond" w:hAnsi="Garamond"/>
          <w:b/>
          <w:color w:val="244061" w:themeColor="accent1" w:themeShade="80"/>
        </w:rPr>
        <w:tab/>
      </w:r>
    </w:p>
    <w:p w14:paraId="18532584" w14:textId="77777777" w:rsidR="009010AA" w:rsidRPr="009B79E4" w:rsidRDefault="009010AA" w:rsidP="009B79E4">
      <w:pPr>
        <w:pStyle w:val="NoSpacing"/>
        <w:ind w:left="7200" w:firstLine="720"/>
        <w:rPr>
          <w:rFonts w:ascii="Garamond" w:hAnsi="Garamond"/>
          <w:b/>
          <w:color w:val="244061" w:themeColor="accent1" w:themeShade="80"/>
        </w:rPr>
      </w:pPr>
      <w:r w:rsidRPr="009B79E4">
        <w:rPr>
          <w:rFonts w:ascii="Garamond" w:hAnsi="Garamond"/>
          <w:b/>
          <w:color w:val="244061" w:themeColor="accent1" w:themeShade="80"/>
        </w:rPr>
        <w:t>Caruthers, California 93609</w:t>
      </w:r>
      <w:r w:rsidRPr="009B79E4">
        <w:rPr>
          <w:rFonts w:ascii="Garamond" w:hAnsi="Garamond"/>
          <w:b/>
          <w:color w:val="244061" w:themeColor="accent1" w:themeShade="80"/>
        </w:rPr>
        <w:tab/>
      </w:r>
    </w:p>
    <w:p w14:paraId="48D2F9D7" w14:textId="77777777" w:rsidR="009010AA" w:rsidRPr="009B79E4" w:rsidRDefault="009010AA" w:rsidP="009B79E4">
      <w:pPr>
        <w:pStyle w:val="NoSpacing"/>
        <w:ind w:left="7200" w:firstLine="720"/>
        <w:rPr>
          <w:rFonts w:ascii="Garamond" w:hAnsi="Garamond"/>
          <w:b/>
          <w:color w:val="244061" w:themeColor="accent1" w:themeShade="80"/>
        </w:rPr>
      </w:pPr>
      <w:r w:rsidRPr="009B79E4">
        <w:rPr>
          <w:rFonts w:ascii="Garamond" w:hAnsi="Garamond"/>
          <w:b/>
          <w:color w:val="244061" w:themeColor="accent1" w:themeShade="80"/>
        </w:rPr>
        <w:t>T:  559-495-6402</w:t>
      </w:r>
    </w:p>
    <w:p w14:paraId="60C7927B" w14:textId="77777777" w:rsidR="009010AA" w:rsidRPr="009B79E4" w:rsidRDefault="009010AA" w:rsidP="009B79E4">
      <w:pPr>
        <w:pStyle w:val="NoSpacing"/>
        <w:ind w:left="7200" w:firstLine="720"/>
        <w:rPr>
          <w:rFonts w:ascii="Garamond" w:hAnsi="Garamond"/>
          <w:b/>
          <w:color w:val="244061" w:themeColor="accent1" w:themeShade="80"/>
        </w:rPr>
      </w:pPr>
      <w:r w:rsidRPr="009B79E4">
        <w:rPr>
          <w:rFonts w:ascii="Garamond" w:hAnsi="Garamond"/>
          <w:b/>
          <w:color w:val="244061" w:themeColor="accent1" w:themeShade="80"/>
        </w:rPr>
        <w:t>F:  559-864-4241</w:t>
      </w:r>
    </w:p>
    <w:p w14:paraId="634B6FAB" w14:textId="77777777" w:rsidR="009010AA" w:rsidRPr="009B79E4" w:rsidRDefault="009010AA" w:rsidP="009010AA">
      <w:pPr>
        <w:pStyle w:val="NoSpacing"/>
        <w:rPr>
          <w:rFonts w:ascii="Garamond" w:hAnsi="Garamond"/>
          <w:b/>
          <w:color w:val="244061" w:themeColor="accent1" w:themeShade="80"/>
        </w:rPr>
      </w:pP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r>
      <w:r w:rsidRPr="009B79E4">
        <w:rPr>
          <w:rFonts w:ascii="Garamond" w:hAnsi="Garamond"/>
          <w:b/>
          <w:color w:val="244061" w:themeColor="accent1" w:themeShade="80"/>
        </w:rPr>
        <w:tab/>
        <w:t>www.caruthers.k12.ca.us</w:t>
      </w:r>
    </w:p>
    <w:p w14:paraId="6007DE0B" w14:textId="77777777" w:rsidR="009010AA" w:rsidRPr="00435137" w:rsidRDefault="0000485F" w:rsidP="009010AA">
      <w:pPr>
        <w:pStyle w:val="NoSpacing"/>
        <w:rPr>
          <w:rFonts w:ascii="Garamond" w:hAnsi="Garamond"/>
          <w:color w:val="244061" w:themeColor="accent1" w:themeShade="80"/>
        </w:rPr>
      </w:pPr>
      <w:r>
        <w:rPr>
          <w:noProof/>
        </w:rPr>
        <mc:AlternateContent>
          <mc:Choice Requires="wps">
            <w:drawing>
              <wp:anchor distT="0" distB="0" distL="114300" distR="114300" simplePos="0" relativeHeight="251660288" behindDoc="0" locked="0" layoutInCell="1" allowOverlap="1" wp14:anchorId="352DDAA3" wp14:editId="4A4277C4">
                <wp:simplePos x="0" y="0"/>
                <wp:positionH relativeFrom="column">
                  <wp:posOffset>323851</wp:posOffset>
                </wp:positionH>
                <wp:positionV relativeFrom="paragraph">
                  <wp:posOffset>42545</wp:posOffset>
                </wp:positionV>
                <wp:extent cx="6534150" cy="74390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7439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5C074" w14:textId="77777777" w:rsidR="00C32F42" w:rsidRDefault="00C32F42" w:rsidP="00C32F42">
                            <w:pPr>
                              <w:shd w:val="clear" w:color="auto" w:fill="FFFFFF"/>
                              <w:spacing w:after="240"/>
                              <w:jc w:val="center"/>
                              <w:rPr>
                                <w:rFonts w:ascii="Calibri" w:eastAsia="Calibri" w:hAnsi="Calibri" w:cs="Calibri"/>
                                <w:sz w:val="20"/>
                                <w:szCs w:val="20"/>
                              </w:rPr>
                            </w:pPr>
                            <w:r>
                              <w:rPr>
                                <w:rFonts w:ascii="Calibri" w:eastAsia="Calibri" w:hAnsi="Calibri" w:cs="Calibri"/>
                                <w:b/>
                                <w:sz w:val="20"/>
                                <w:szCs w:val="20"/>
                              </w:rPr>
                              <w:t>Earned Income Tax Credit (EITC) Annual Notification</w:t>
                            </w:r>
                          </w:p>
                          <w:p w14:paraId="4084F610" w14:textId="77777777" w:rsidR="00C32F42" w:rsidRPr="009666D5" w:rsidRDefault="00C32F42" w:rsidP="00C32F42">
                            <w:pPr>
                              <w:shd w:val="clear" w:color="auto" w:fill="FFFFFF"/>
                              <w:spacing w:after="240"/>
                              <w:rPr>
                                <w:rFonts w:ascii="Calibri" w:eastAsia="Calibri" w:hAnsi="Calibri" w:cs="Calibri"/>
                                <w:sz w:val="20"/>
                                <w:szCs w:val="20"/>
                              </w:rPr>
                            </w:pPr>
                            <w:r>
                              <w:rPr>
                                <w:rFonts w:ascii="Calibri" w:eastAsia="Calibri" w:hAnsi="Calibri" w:cs="Calibri"/>
                                <w:sz w:val="20"/>
                                <w:szCs w:val="20"/>
                              </w:rPr>
                              <w:t xml:space="preserve">The CDE </w:t>
                            </w:r>
                            <w:r>
                              <w:rPr>
                                <w:rFonts w:ascii="Calibri" w:eastAsia="Calibri" w:hAnsi="Calibri" w:cs="Calibri"/>
                                <w:sz w:val="20"/>
                                <w:szCs w:val="20"/>
                                <w:u w:val="single"/>
                              </w:rPr>
                              <w:t>requires</w:t>
                            </w:r>
                            <w:r>
                              <w:rPr>
                                <w:rFonts w:ascii="Calibri" w:eastAsia="Calibri" w:hAnsi="Calibri" w:cs="Calibri"/>
                                <w:sz w:val="20"/>
                                <w:szCs w:val="20"/>
                              </w:rPr>
                              <w:t xml:space="preserve"> that all SFAs who operate the federal meal program notify households about the Earned Income Tax Credit (EITC) Information Act annually. </w:t>
                            </w:r>
                          </w:p>
                          <w:p w14:paraId="47E08812" w14:textId="77777777" w:rsidR="00C32F42" w:rsidRPr="009666D5" w:rsidRDefault="00C32F42" w:rsidP="00C32F42">
                            <w:pPr>
                              <w:shd w:val="clear" w:color="auto" w:fill="FFFFFF"/>
                              <w:spacing w:after="240"/>
                              <w:rPr>
                                <w:rFonts w:ascii="Calibri" w:eastAsia="Calibri" w:hAnsi="Calibri" w:cs="Calibri"/>
                                <w:sz w:val="20"/>
                                <w:szCs w:val="20"/>
                              </w:rPr>
                            </w:pPr>
                            <w:r>
                              <w:rPr>
                                <w:rFonts w:ascii="Calibri" w:eastAsia="Calibri" w:hAnsi="Calibri" w:cs="Calibri"/>
                                <w:sz w:val="20"/>
                                <w:szCs w:val="20"/>
                                <w:u w:val="single"/>
                              </w:rPr>
                              <w:t>What is the EITC?</w:t>
                            </w:r>
                            <w:r>
                              <w:rPr>
                                <w:rFonts w:ascii="Calibri" w:eastAsia="Calibri" w:hAnsi="Calibri" w:cs="Calibri"/>
                                <w:sz w:val="20"/>
                                <w:szCs w:val="20"/>
                              </w:rPr>
                              <w:t xml:space="preserve"> The EITC is a benefit for working people with low to moderate income. They must meet certain requirements and file a tax return, even if taxes are not owed or households are not required to file, to qualify. The EITC reduces the amount of tax households owe and may allow for a refund.</w:t>
                            </w:r>
                          </w:p>
                          <w:p w14:paraId="0BD10697" w14:textId="77777777" w:rsidR="00C32F42" w:rsidRDefault="00C32F42" w:rsidP="00C32F42">
                            <w:pPr>
                              <w:rPr>
                                <w:rFonts w:ascii="Calibri" w:eastAsia="Calibri" w:hAnsi="Calibri" w:cs="Calibri"/>
                                <w:sz w:val="20"/>
                                <w:szCs w:val="20"/>
                                <w:highlight w:val="white"/>
                              </w:rPr>
                            </w:pPr>
                            <w:r>
                              <w:rPr>
                                <w:rFonts w:ascii="Calibri" w:eastAsia="Calibri" w:hAnsi="Calibri" w:cs="Calibri"/>
                                <w:sz w:val="20"/>
                                <w:szCs w:val="20"/>
                                <w:highlight w:val="white"/>
                              </w:rPr>
                              <w:t xml:space="preserve">Based on your annual earnings, you may be eligible to receive the Earned Income Tax Credit from the Federal Government (Federal EITC). The Federal EITC is a refundable federal income tax credit for low-income working individuals and families. The Federal EITC has no effect on certain welfare benefits. In most cases, Federal EITC payments will not be used to determine eligibility for Medicaid, Supplemental Security Income, food stamps, low-income housing, or most Temporary Assistance </w:t>
                            </w:r>
                            <w:proofErr w:type="gramStart"/>
                            <w:r>
                              <w:rPr>
                                <w:rFonts w:ascii="Calibri" w:eastAsia="Calibri" w:hAnsi="Calibri" w:cs="Calibri"/>
                                <w:sz w:val="20"/>
                                <w:szCs w:val="20"/>
                                <w:highlight w:val="white"/>
                              </w:rPr>
                              <w:t>For</w:t>
                            </w:r>
                            <w:proofErr w:type="gramEnd"/>
                            <w:r>
                              <w:rPr>
                                <w:rFonts w:ascii="Calibri" w:eastAsia="Calibri" w:hAnsi="Calibri" w:cs="Calibri"/>
                                <w:sz w:val="20"/>
                                <w:szCs w:val="20"/>
                                <w:highlight w:val="white"/>
                              </w:rPr>
                              <w:t xml:space="preserve"> Needy Families payments. Even if you do not owe federal taxes, you must file a federal tax return to receive the Federal EITC. Be sure to fill out the Federal EITC form in the Federal Income Tax Return Booklet. For information regarding your eligibility to receive the Federal EITC, including information on how to obtain the Internal Revenue Service (IRS) Notice 797 or any other necessary forms and instructions, contact the IRS by calling 1-800-829-3676 or through its website at www.irs.gov.</w:t>
                            </w:r>
                          </w:p>
                          <w:p w14:paraId="47858D77" w14:textId="77777777" w:rsidR="00C32F42" w:rsidRDefault="00C32F42" w:rsidP="00C32F42">
                            <w:pPr>
                              <w:rPr>
                                <w:rFonts w:ascii="Calibri" w:eastAsia="Calibri" w:hAnsi="Calibri" w:cs="Calibri"/>
                                <w:sz w:val="20"/>
                                <w:szCs w:val="20"/>
                                <w:highlight w:val="white"/>
                              </w:rPr>
                            </w:pPr>
                            <w:r>
                              <w:rPr>
                                <w:rFonts w:ascii="Calibri" w:eastAsia="Calibri" w:hAnsi="Calibri" w:cs="Calibri"/>
                                <w:sz w:val="20"/>
                                <w:szCs w:val="20"/>
                                <w:highlight w:val="white"/>
                              </w:rPr>
                              <w:t>You may also be eligible to receive the California Earned Income Tax Credit (California EITC) starting with the calendar year 2015 tax year. The California EITC is a refundable state income tax credit for low-income working individuals and families. The California EITC is treated in the same manner as the Federal EITC and generally will not be used to determine eligibility for welfare benefits under California law. To claim the California EITC, even if you do not owe California taxes, you must file a California income tax return and complete and attach the California EITC Form (FTB 3514). For information on the availability of the credit eligibility requirements and how to obtain the necessary California forms and get help filing, contact the Franchise Tax Board at 1-800-852-5711 or through its website at www.ftb.ca.gov.</w:t>
                            </w:r>
                          </w:p>
                          <w:p w14:paraId="6990EAC4" w14:textId="77777777" w:rsidR="00C32F42" w:rsidRDefault="00C32F42" w:rsidP="00C32F42">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180" w:after="80"/>
                              <w:rPr>
                                <w:rFonts w:ascii="Calibri" w:eastAsia="Calibri" w:hAnsi="Calibri" w:cs="Calibri"/>
                                <w:sz w:val="20"/>
                                <w:szCs w:val="20"/>
                              </w:rPr>
                            </w:pPr>
                            <w:bookmarkStart w:id="0" w:name="_heading=h.gjdgxs" w:colFirst="0" w:colLast="0"/>
                            <w:bookmarkEnd w:id="0"/>
                            <w:r>
                              <w:rPr>
                                <w:rFonts w:ascii="Calibri" w:eastAsia="Calibri" w:hAnsi="Calibri" w:cs="Calibri"/>
                                <w:sz w:val="20"/>
                                <w:szCs w:val="20"/>
                                <w:highlight w:val="white"/>
                              </w:rPr>
                              <w:t>This institution is an equal opportunity provider.</w:t>
                            </w:r>
                          </w:p>
                          <w:p w14:paraId="3544F112" w14:textId="77777777" w:rsidR="00C32F42" w:rsidRDefault="00C32F42" w:rsidP="00C32F42">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180" w:after="80"/>
                              <w:rPr>
                                <w:rFonts w:ascii="Calibri" w:eastAsia="Calibri" w:hAnsi="Calibri" w:cs="Calibri"/>
                                <w:sz w:val="20"/>
                                <w:szCs w:val="20"/>
                                <w:u w:val="single"/>
                              </w:rPr>
                            </w:pPr>
                            <w:bookmarkStart w:id="1" w:name="_heading=h.30j0zll" w:colFirst="0" w:colLast="0"/>
                            <w:bookmarkStart w:id="2" w:name="_heading=h.1fob9te" w:colFirst="0" w:colLast="0"/>
                            <w:bookmarkEnd w:id="1"/>
                            <w:bookmarkEnd w:id="2"/>
                            <w:r>
                              <w:rPr>
                                <w:rFonts w:ascii="Calibri" w:eastAsia="Calibri" w:hAnsi="Calibri" w:cs="Calibri"/>
                                <w:sz w:val="20"/>
                                <w:szCs w:val="20"/>
                                <w:u w:val="single"/>
                              </w:rPr>
                              <w:t xml:space="preserve">Below are some additional resources you can provide in your </w:t>
                            </w:r>
                            <w:proofErr w:type="gramStart"/>
                            <w:r>
                              <w:rPr>
                                <w:rFonts w:ascii="Calibri" w:eastAsia="Calibri" w:hAnsi="Calibri" w:cs="Calibri"/>
                                <w:sz w:val="20"/>
                                <w:szCs w:val="20"/>
                                <w:u w:val="single"/>
                              </w:rPr>
                              <w:t>notification,</w:t>
                            </w:r>
                            <w:proofErr w:type="gramEnd"/>
                            <w:r>
                              <w:rPr>
                                <w:rFonts w:ascii="Calibri" w:eastAsia="Calibri" w:hAnsi="Calibri" w:cs="Calibri"/>
                                <w:sz w:val="20"/>
                                <w:szCs w:val="20"/>
                                <w:u w:val="single"/>
                              </w:rPr>
                              <w:t xml:space="preserve"> however they are not required.</w:t>
                            </w:r>
                          </w:p>
                          <w:p w14:paraId="30E11B54" w14:textId="77777777" w:rsidR="00C32F42" w:rsidRDefault="00C32F42" w:rsidP="00C32F42">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180" w:after="80"/>
                              <w:rPr>
                                <w:rFonts w:ascii="Calibri" w:eastAsia="Calibri" w:hAnsi="Calibri" w:cs="Calibri"/>
                                <w:sz w:val="20"/>
                                <w:szCs w:val="20"/>
                              </w:rPr>
                            </w:pPr>
                            <w:bookmarkStart w:id="3" w:name="_heading=h.3znysh7" w:colFirst="0" w:colLast="0"/>
                            <w:bookmarkEnd w:id="3"/>
                            <w:r>
                              <w:rPr>
                                <w:rFonts w:ascii="Calibri" w:eastAsia="Calibri" w:hAnsi="Calibri" w:cs="Calibri"/>
                                <w:sz w:val="20"/>
                                <w:szCs w:val="20"/>
                              </w:rPr>
                              <w:t>Free resources to help you file your tax return:</w:t>
                            </w:r>
                          </w:p>
                          <w:p w14:paraId="46E22C8C"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0"/>
                              <w:ind w:left="1300"/>
                              <w:rPr>
                                <w:color w:val="000000"/>
                                <w:sz w:val="20"/>
                                <w:szCs w:val="20"/>
                              </w:rPr>
                            </w:pPr>
                            <w:r>
                              <w:rPr>
                                <w:rFonts w:ascii="Calibri" w:eastAsia="Calibri" w:hAnsi="Calibri" w:cs="Calibri"/>
                                <w:b/>
                                <w:sz w:val="20"/>
                                <w:szCs w:val="20"/>
                              </w:rPr>
                              <w:t xml:space="preserve">EITC Brochure in Spanish/English: </w:t>
                            </w:r>
                            <w:r>
                              <w:rPr>
                                <w:rFonts w:ascii="Calibri" w:eastAsia="Calibri" w:hAnsi="Calibri" w:cs="Calibri"/>
                                <w:sz w:val="20"/>
                                <w:szCs w:val="20"/>
                              </w:rPr>
                              <w:t xml:space="preserve">This </w:t>
                            </w:r>
                            <w:hyperlink r:id="rId8">
                              <w:r>
                                <w:rPr>
                                  <w:rFonts w:ascii="Calibri" w:eastAsia="Calibri" w:hAnsi="Calibri" w:cs="Calibri"/>
                                  <w:sz w:val="20"/>
                                  <w:szCs w:val="20"/>
                                  <w:u w:val="single"/>
                                </w:rPr>
                                <w:t>printable brochure</w:t>
                              </w:r>
                            </w:hyperlink>
                            <w:r>
                              <w:rPr>
                                <w:rFonts w:ascii="Calibri" w:eastAsia="Calibri" w:hAnsi="Calibri" w:cs="Calibri"/>
                                <w:sz w:val="20"/>
                                <w:szCs w:val="20"/>
                              </w:rPr>
                              <w:t xml:space="preserve"> provides information about the Federal and California Earned Income Tax Credits (EITCs) along with the eligibility requirements.</w:t>
                            </w:r>
                          </w:p>
                          <w:p w14:paraId="6DD3D830"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0"/>
                              <w:ind w:left="1300"/>
                              <w:rPr>
                                <w:color w:val="000000"/>
                                <w:sz w:val="20"/>
                                <w:szCs w:val="20"/>
                              </w:rPr>
                            </w:pPr>
                            <w:r>
                              <w:rPr>
                                <w:rFonts w:ascii="Calibri" w:eastAsia="Calibri" w:hAnsi="Calibri" w:cs="Calibri"/>
                                <w:b/>
                                <w:sz w:val="20"/>
                                <w:szCs w:val="20"/>
                              </w:rPr>
                              <w:t xml:space="preserve">Internal Revenue Service (IRS): </w:t>
                            </w:r>
                            <w:r>
                              <w:rPr>
                                <w:rFonts w:ascii="Calibri" w:eastAsia="Calibri" w:hAnsi="Calibri" w:cs="Calibri"/>
                                <w:sz w:val="20"/>
                                <w:szCs w:val="20"/>
                              </w:rPr>
                              <w:t xml:space="preserve">For more information about the Federal EITC, please visit the </w:t>
                            </w:r>
                            <w:hyperlink r:id="rId9">
                              <w:r>
                                <w:rPr>
                                  <w:rFonts w:ascii="Calibri" w:eastAsia="Calibri" w:hAnsi="Calibri" w:cs="Calibri"/>
                                  <w:sz w:val="20"/>
                                  <w:szCs w:val="20"/>
                                  <w:u w:val="single"/>
                                </w:rPr>
                                <w:t xml:space="preserve">EITC </w:t>
                              </w:r>
                            </w:hyperlink>
                            <w:r>
                              <w:rPr>
                                <w:rFonts w:ascii="Calibri" w:eastAsia="Calibri" w:hAnsi="Calibri" w:cs="Calibri"/>
                                <w:sz w:val="20"/>
                                <w:szCs w:val="20"/>
                              </w:rPr>
                              <w:t>web site or call 1-800-829-1040.</w:t>
                            </w:r>
                          </w:p>
                          <w:p w14:paraId="7319A7C4"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0"/>
                              <w:ind w:left="1300"/>
                              <w:rPr>
                                <w:color w:val="000000"/>
                                <w:sz w:val="20"/>
                                <w:szCs w:val="20"/>
                              </w:rPr>
                            </w:pPr>
                            <w:r>
                              <w:rPr>
                                <w:rFonts w:ascii="Calibri" w:eastAsia="Calibri" w:hAnsi="Calibri" w:cs="Calibri"/>
                                <w:b/>
                                <w:sz w:val="20"/>
                                <w:szCs w:val="20"/>
                              </w:rPr>
                              <w:t xml:space="preserve">Franchise Tax Board (FTB): </w:t>
                            </w:r>
                            <w:r>
                              <w:rPr>
                                <w:rFonts w:ascii="Calibri" w:eastAsia="Calibri" w:hAnsi="Calibri" w:cs="Calibri"/>
                                <w:sz w:val="20"/>
                                <w:szCs w:val="20"/>
                              </w:rPr>
                              <w:t xml:space="preserve">File your state tax return directly to FTB for free with </w:t>
                            </w:r>
                            <w:hyperlink r:id="rId10">
                              <w:proofErr w:type="spellStart"/>
                              <w:r>
                                <w:rPr>
                                  <w:rFonts w:ascii="Calibri" w:eastAsia="Calibri" w:hAnsi="Calibri" w:cs="Calibri"/>
                                  <w:sz w:val="20"/>
                                  <w:szCs w:val="20"/>
                                  <w:u w:val="single"/>
                                </w:rPr>
                                <w:t>CalFile</w:t>
                              </w:r>
                              <w:proofErr w:type="spellEnd"/>
                            </w:hyperlink>
                            <w:r>
                              <w:rPr>
                                <w:rFonts w:ascii="Calibri" w:eastAsia="Calibri" w:hAnsi="Calibri" w:cs="Calibri"/>
                                <w:sz w:val="20"/>
                                <w:szCs w:val="20"/>
                              </w:rPr>
                              <w:t xml:space="preserve">. For more information, please contact FTB at 1-800-852-5711 or visit the </w:t>
                            </w:r>
                            <w:hyperlink r:id="rId11">
                              <w:proofErr w:type="spellStart"/>
                              <w:r>
                                <w:rPr>
                                  <w:rFonts w:ascii="Calibri" w:eastAsia="Calibri" w:hAnsi="Calibri" w:cs="Calibri"/>
                                  <w:sz w:val="20"/>
                                  <w:szCs w:val="20"/>
                                  <w:u w:val="single"/>
                                </w:rPr>
                                <w:t>FTB</w:t>
                              </w:r>
                            </w:hyperlink>
                            <w:r>
                              <w:rPr>
                                <w:rFonts w:ascii="Calibri" w:eastAsia="Calibri" w:hAnsi="Calibri" w:cs="Calibri"/>
                                <w:sz w:val="20"/>
                                <w:szCs w:val="20"/>
                              </w:rPr>
                              <w:t>web</w:t>
                            </w:r>
                            <w:proofErr w:type="spellEnd"/>
                            <w:r>
                              <w:rPr>
                                <w:rFonts w:ascii="Calibri" w:eastAsia="Calibri" w:hAnsi="Calibri" w:cs="Calibri"/>
                                <w:sz w:val="20"/>
                                <w:szCs w:val="20"/>
                              </w:rPr>
                              <w:t xml:space="preserve"> site.</w:t>
                            </w:r>
                          </w:p>
                          <w:p w14:paraId="3A45EDA2"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560"/>
                              <w:ind w:left="1300"/>
                              <w:rPr>
                                <w:color w:val="000000"/>
                                <w:sz w:val="20"/>
                                <w:szCs w:val="20"/>
                              </w:rPr>
                            </w:pPr>
                            <w:proofErr w:type="spellStart"/>
                            <w:r>
                              <w:rPr>
                                <w:rFonts w:ascii="Calibri" w:eastAsia="Calibri" w:hAnsi="Calibri" w:cs="Calibri"/>
                                <w:b/>
                                <w:sz w:val="20"/>
                                <w:szCs w:val="20"/>
                              </w:rPr>
                              <w:t>CalEITC</w:t>
                            </w:r>
                            <w:proofErr w:type="spellEnd"/>
                            <w:r>
                              <w:rPr>
                                <w:rFonts w:ascii="Calibri" w:eastAsia="Calibri" w:hAnsi="Calibri" w:cs="Calibri"/>
                                <w:sz w:val="20"/>
                                <w:szCs w:val="20"/>
                              </w:rPr>
                              <w:t xml:space="preserve">: California joins 24 other states and the District of Columbia in adopting a state EITC to supplement the federal EITC. For more information visit </w:t>
                            </w:r>
                            <w:hyperlink r:id="rId12">
                              <w:r>
                                <w:rPr>
                                  <w:rFonts w:ascii="Calibri" w:eastAsia="Calibri" w:hAnsi="Calibri" w:cs="Calibri"/>
                                  <w:sz w:val="20"/>
                                  <w:szCs w:val="20"/>
                                  <w:u w:val="single"/>
                                </w:rPr>
                                <w:t>CalEITC4Me</w:t>
                              </w:r>
                            </w:hyperlink>
                            <w:r>
                              <w:rPr>
                                <w:rFonts w:ascii="Calibri" w:eastAsia="Calibri" w:hAnsi="Calibri" w:cs="Calibri"/>
                                <w:sz w:val="20"/>
                                <w:szCs w:val="20"/>
                              </w:rPr>
                              <w:t xml:space="preserve">. In addition to </w:t>
                            </w:r>
                            <w:hyperlink r:id="rId13">
                              <w:r>
                                <w:rPr>
                                  <w:rFonts w:ascii="Calibri" w:eastAsia="Calibri" w:hAnsi="Calibri" w:cs="Calibri"/>
                                  <w:sz w:val="20"/>
                                  <w:szCs w:val="20"/>
                                  <w:u w:val="single"/>
                                </w:rPr>
                                <w:t xml:space="preserve">the </w:t>
                              </w:r>
                              <w:proofErr w:type="spellStart"/>
                              <w:r>
                                <w:rPr>
                                  <w:rFonts w:ascii="Calibri" w:eastAsia="Calibri" w:hAnsi="Calibri" w:cs="Calibri"/>
                                  <w:sz w:val="20"/>
                                  <w:szCs w:val="20"/>
                                  <w:u w:val="single"/>
                                </w:rPr>
                                <w:t>CalEITC</w:t>
                              </w:r>
                              <w:proofErr w:type="spellEnd"/>
                              <w:r>
                                <w:rPr>
                                  <w:rFonts w:ascii="Calibri" w:eastAsia="Calibri" w:hAnsi="Calibri" w:cs="Calibri"/>
                                  <w:sz w:val="20"/>
                                  <w:szCs w:val="20"/>
                                  <w:u w:val="single"/>
                                </w:rPr>
                                <w:t xml:space="preserve"> Calculator</w:t>
                              </w:r>
                            </w:hyperlink>
                            <w:r>
                              <w:rPr>
                                <w:rFonts w:ascii="Calibri" w:eastAsia="Calibri" w:hAnsi="Calibri" w:cs="Calibri"/>
                                <w:sz w:val="20"/>
                                <w:szCs w:val="20"/>
                              </w:rPr>
                              <w:t xml:space="preserve"> to determine how much money eligible filers can get back, and a </w:t>
                            </w:r>
                            <w:hyperlink r:id="rId14">
                              <w:r>
                                <w:rPr>
                                  <w:rFonts w:ascii="Calibri" w:eastAsia="Calibri" w:hAnsi="Calibri" w:cs="Calibri"/>
                                  <w:sz w:val="20"/>
                                  <w:szCs w:val="20"/>
                                  <w:u w:val="single"/>
                                </w:rPr>
                                <w:t>Free Tax Prep Finder</w:t>
                              </w:r>
                            </w:hyperlink>
                            <w:r>
                              <w:rPr>
                                <w:rFonts w:ascii="Calibri" w:eastAsia="Calibri" w:hAnsi="Calibri" w:cs="Calibri"/>
                                <w:sz w:val="20"/>
                                <w:szCs w:val="20"/>
                              </w:rPr>
                              <w:t xml:space="preserve"> to help people find convenient free tax preparation sites in their neighborhoods.</w:t>
                            </w:r>
                          </w:p>
                          <w:p w14:paraId="4E538781" w14:textId="77777777" w:rsidR="00435137" w:rsidRDefault="00435137"/>
                          <w:p w14:paraId="75824E14" w14:textId="77777777" w:rsidR="00435137" w:rsidRDefault="00435137"/>
                          <w:p w14:paraId="22FA5CE3" w14:textId="77777777" w:rsidR="00435137" w:rsidRDefault="00435137"/>
                          <w:p w14:paraId="79CA419C" w14:textId="77777777" w:rsidR="00435137" w:rsidRDefault="00435137"/>
                          <w:p w14:paraId="5F43F302" w14:textId="77777777" w:rsidR="00435137" w:rsidRDefault="004351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2DDAA3" id="_x0000_t202" coordsize="21600,21600" o:spt="202" path="m,l,21600r21600,l21600,xe">
                <v:stroke joinstyle="miter"/>
                <v:path gradientshapeok="t" o:connecttype="rect"/>
              </v:shapetype>
              <v:shape id="Text Box 2" o:spid="_x0000_s1026" type="#_x0000_t202" style="position:absolute;margin-left:25.5pt;margin-top:3.35pt;width:514.5pt;height:58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" stroked="f">
                <v:textbox>
                  <w:txbxContent>
                    <w:p w14:paraId="3F15C074" w14:textId="77777777" w:rsidR="00C32F42" w:rsidRDefault="00C32F42" w:rsidP="00C32F42">
                      <w:pPr>
                        <w:shd w:val="clear" w:color="auto" w:fill="FFFFFF"/>
                        <w:spacing w:after="240"/>
                        <w:jc w:val="center"/>
                        <w:rPr>
                          <w:rFonts w:ascii="Calibri" w:eastAsia="Calibri" w:hAnsi="Calibri" w:cs="Calibri"/>
                          <w:sz w:val="20"/>
                          <w:szCs w:val="20"/>
                        </w:rPr>
                      </w:pPr>
                      <w:r>
                        <w:rPr>
                          <w:rFonts w:ascii="Calibri" w:eastAsia="Calibri" w:hAnsi="Calibri" w:cs="Calibri"/>
                          <w:b/>
                          <w:sz w:val="20"/>
                          <w:szCs w:val="20"/>
                        </w:rPr>
                        <w:t>Earned Income Tax Credit (EITC) Annual Notification</w:t>
                      </w:r>
                    </w:p>
                    <w:p w14:paraId="4084F610" w14:textId="77777777" w:rsidR="00C32F42" w:rsidRPr="009666D5" w:rsidRDefault="00C32F42" w:rsidP="00C32F42">
                      <w:pPr>
                        <w:shd w:val="clear" w:color="auto" w:fill="FFFFFF"/>
                        <w:spacing w:after="240"/>
                        <w:rPr>
                          <w:rFonts w:ascii="Calibri" w:eastAsia="Calibri" w:hAnsi="Calibri" w:cs="Calibri"/>
                          <w:sz w:val="20"/>
                          <w:szCs w:val="20"/>
                        </w:rPr>
                      </w:pPr>
                      <w:r>
                        <w:rPr>
                          <w:rFonts w:ascii="Calibri" w:eastAsia="Calibri" w:hAnsi="Calibri" w:cs="Calibri"/>
                          <w:sz w:val="20"/>
                          <w:szCs w:val="20"/>
                        </w:rPr>
                        <w:t xml:space="preserve">The CDE </w:t>
                      </w:r>
                      <w:r>
                        <w:rPr>
                          <w:rFonts w:ascii="Calibri" w:eastAsia="Calibri" w:hAnsi="Calibri" w:cs="Calibri"/>
                          <w:sz w:val="20"/>
                          <w:szCs w:val="20"/>
                          <w:u w:val="single"/>
                        </w:rPr>
                        <w:t>requires</w:t>
                      </w:r>
                      <w:r>
                        <w:rPr>
                          <w:rFonts w:ascii="Calibri" w:eastAsia="Calibri" w:hAnsi="Calibri" w:cs="Calibri"/>
                          <w:sz w:val="20"/>
                          <w:szCs w:val="20"/>
                        </w:rPr>
                        <w:t xml:space="preserve"> that all SFAs who operate the federal meal program notify households about the Earned Income Tax Credit (EITC) Information Act annually. </w:t>
                      </w:r>
                    </w:p>
                    <w:p w14:paraId="47E08812" w14:textId="77777777" w:rsidR="00C32F42" w:rsidRPr="009666D5" w:rsidRDefault="00C32F42" w:rsidP="00C32F42">
                      <w:pPr>
                        <w:shd w:val="clear" w:color="auto" w:fill="FFFFFF"/>
                        <w:spacing w:after="240"/>
                        <w:rPr>
                          <w:rFonts w:ascii="Calibri" w:eastAsia="Calibri" w:hAnsi="Calibri" w:cs="Calibri"/>
                          <w:sz w:val="20"/>
                          <w:szCs w:val="20"/>
                        </w:rPr>
                      </w:pPr>
                      <w:r>
                        <w:rPr>
                          <w:rFonts w:ascii="Calibri" w:eastAsia="Calibri" w:hAnsi="Calibri" w:cs="Calibri"/>
                          <w:sz w:val="20"/>
                          <w:szCs w:val="20"/>
                          <w:u w:val="single"/>
                        </w:rPr>
                        <w:t>What is the EITC?</w:t>
                      </w:r>
                      <w:r>
                        <w:rPr>
                          <w:rFonts w:ascii="Calibri" w:eastAsia="Calibri" w:hAnsi="Calibri" w:cs="Calibri"/>
                          <w:sz w:val="20"/>
                          <w:szCs w:val="20"/>
                        </w:rPr>
                        <w:t xml:space="preserve"> The EITC is a benefit for working people with low to moderate income. They must meet certain requirements and file a tax return, even if taxes are not owed or households are not required to file, to qualify. The EITC reduces the amount of tax households owe and may allow for a refund.</w:t>
                      </w:r>
                    </w:p>
                    <w:p w14:paraId="0BD10697" w14:textId="77777777" w:rsidR="00C32F42" w:rsidRDefault="00C32F42" w:rsidP="00C32F42">
                      <w:pPr>
                        <w:rPr>
                          <w:rFonts w:ascii="Calibri" w:eastAsia="Calibri" w:hAnsi="Calibri" w:cs="Calibri"/>
                          <w:sz w:val="20"/>
                          <w:szCs w:val="20"/>
                          <w:highlight w:val="white"/>
                        </w:rPr>
                      </w:pPr>
                      <w:r>
                        <w:rPr>
                          <w:rFonts w:ascii="Calibri" w:eastAsia="Calibri" w:hAnsi="Calibri" w:cs="Calibri"/>
                          <w:sz w:val="20"/>
                          <w:szCs w:val="20"/>
                          <w:highlight w:val="white"/>
                        </w:rPr>
                        <w:t xml:space="preserve">Based on your annual earnings, you may be eligible to receive the Earned Income Tax Credit from the Federal Government (Federal EITC). The Federal EITC is a refundable federal income tax credit for low-income working individuals and families. The Federal EITC has no effect on certain welfare benefits. In most cases, Federal EITC payments will not be used to determine eligibility for Medicaid, Supplemental Security Income, food stamps, low-income housing, or most Temporary Assistance </w:t>
                      </w:r>
                      <w:proofErr w:type="gramStart"/>
                      <w:r>
                        <w:rPr>
                          <w:rFonts w:ascii="Calibri" w:eastAsia="Calibri" w:hAnsi="Calibri" w:cs="Calibri"/>
                          <w:sz w:val="20"/>
                          <w:szCs w:val="20"/>
                          <w:highlight w:val="white"/>
                        </w:rPr>
                        <w:t>For</w:t>
                      </w:r>
                      <w:proofErr w:type="gramEnd"/>
                      <w:r>
                        <w:rPr>
                          <w:rFonts w:ascii="Calibri" w:eastAsia="Calibri" w:hAnsi="Calibri" w:cs="Calibri"/>
                          <w:sz w:val="20"/>
                          <w:szCs w:val="20"/>
                          <w:highlight w:val="white"/>
                        </w:rPr>
                        <w:t xml:space="preserve"> Needy Families payments. Even if you do not owe federal taxes, you must file a federal tax return to receive the Federal EITC. Be sure to fill out the Federal EITC form in the Federal Income Tax Return Booklet. For information regarding your eligibility to receive the Federal EITC, including information on how to obtain the Internal Revenue Service (IRS) Notice 797 or any other necessary forms and instructions, contact the IRS by calling 1-800-829-3676 or through its website at www.irs.gov.</w:t>
                      </w:r>
                    </w:p>
                    <w:p w14:paraId="47858D77" w14:textId="77777777" w:rsidR="00C32F42" w:rsidRDefault="00C32F42" w:rsidP="00C32F42">
                      <w:pPr>
                        <w:rPr>
                          <w:rFonts w:ascii="Calibri" w:eastAsia="Calibri" w:hAnsi="Calibri" w:cs="Calibri"/>
                          <w:sz w:val="20"/>
                          <w:szCs w:val="20"/>
                          <w:highlight w:val="white"/>
                        </w:rPr>
                      </w:pPr>
                      <w:r>
                        <w:rPr>
                          <w:rFonts w:ascii="Calibri" w:eastAsia="Calibri" w:hAnsi="Calibri" w:cs="Calibri"/>
                          <w:sz w:val="20"/>
                          <w:szCs w:val="20"/>
                          <w:highlight w:val="white"/>
                        </w:rPr>
                        <w:t>You may also be eligible to receive the California Earned Income Tax Credit (California EITC) starting with the calendar year 2015 tax year. The California EITC is a refundable state income tax credit for low-income working individuals and families. The California EITC is treated in the same manner as the Federal EITC and generally will not be used to determine eligibility for welfare benefits under California law. To claim the California EITC, even if you do not owe California taxes, you must file a California income tax return and complete and attach the California EITC Form (FTB 3514). For information on the availability of the credit eligibility requirements and how to obtain the necessary California forms and get help filing, contact the Franchise Tax Board at 1-800-852-5711 or through its website at www.ftb.ca.gov.</w:t>
                      </w:r>
                    </w:p>
                    <w:p w14:paraId="6990EAC4" w14:textId="77777777" w:rsidR="00C32F42" w:rsidRDefault="00C32F42" w:rsidP="00C32F42">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180" w:after="80"/>
                        <w:rPr>
                          <w:rFonts w:ascii="Calibri" w:eastAsia="Calibri" w:hAnsi="Calibri" w:cs="Calibri"/>
                          <w:sz w:val="20"/>
                          <w:szCs w:val="20"/>
                        </w:rPr>
                      </w:pPr>
                      <w:bookmarkStart w:id="4" w:name="_heading=h.gjdgxs" w:colFirst="0" w:colLast="0"/>
                      <w:bookmarkEnd w:id="4"/>
                      <w:r>
                        <w:rPr>
                          <w:rFonts w:ascii="Calibri" w:eastAsia="Calibri" w:hAnsi="Calibri" w:cs="Calibri"/>
                          <w:sz w:val="20"/>
                          <w:szCs w:val="20"/>
                          <w:highlight w:val="white"/>
                        </w:rPr>
                        <w:t>This institution is an equal opportunity provider.</w:t>
                      </w:r>
                    </w:p>
                    <w:p w14:paraId="3544F112" w14:textId="77777777" w:rsidR="00C32F42" w:rsidRDefault="00C32F42" w:rsidP="00C32F42">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180" w:after="80"/>
                        <w:rPr>
                          <w:rFonts w:ascii="Calibri" w:eastAsia="Calibri" w:hAnsi="Calibri" w:cs="Calibri"/>
                          <w:sz w:val="20"/>
                          <w:szCs w:val="20"/>
                          <w:u w:val="single"/>
                        </w:rPr>
                      </w:pPr>
                      <w:bookmarkStart w:id="5" w:name="_heading=h.30j0zll" w:colFirst="0" w:colLast="0"/>
                      <w:bookmarkStart w:id="6" w:name="_heading=h.1fob9te" w:colFirst="0" w:colLast="0"/>
                      <w:bookmarkEnd w:id="5"/>
                      <w:bookmarkEnd w:id="6"/>
                      <w:r>
                        <w:rPr>
                          <w:rFonts w:ascii="Calibri" w:eastAsia="Calibri" w:hAnsi="Calibri" w:cs="Calibri"/>
                          <w:sz w:val="20"/>
                          <w:szCs w:val="20"/>
                          <w:u w:val="single"/>
                        </w:rPr>
                        <w:t xml:space="preserve">Below are some additional resources you can provide in your </w:t>
                      </w:r>
                      <w:proofErr w:type="gramStart"/>
                      <w:r>
                        <w:rPr>
                          <w:rFonts w:ascii="Calibri" w:eastAsia="Calibri" w:hAnsi="Calibri" w:cs="Calibri"/>
                          <w:sz w:val="20"/>
                          <w:szCs w:val="20"/>
                          <w:u w:val="single"/>
                        </w:rPr>
                        <w:t>notification,</w:t>
                      </w:r>
                      <w:proofErr w:type="gramEnd"/>
                      <w:r>
                        <w:rPr>
                          <w:rFonts w:ascii="Calibri" w:eastAsia="Calibri" w:hAnsi="Calibri" w:cs="Calibri"/>
                          <w:sz w:val="20"/>
                          <w:szCs w:val="20"/>
                          <w:u w:val="single"/>
                        </w:rPr>
                        <w:t xml:space="preserve"> however they are not required.</w:t>
                      </w:r>
                    </w:p>
                    <w:p w14:paraId="30E11B54" w14:textId="77777777" w:rsidR="00C32F42" w:rsidRDefault="00C32F42" w:rsidP="00C32F42">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hd w:val="clear" w:color="auto" w:fill="FFFFFF"/>
                        <w:spacing w:before="180" w:after="80"/>
                        <w:rPr>
                          <w:rFonts w:ascii="Calibri" w:eastAsia="Calibri" w:hAnsi="Calibri" w:cs="Calibri"/>
                          <w:sz w:val="20"/>
                          <w:szCs w:val="20"/>
                        </w:rPr>
                      </w:pPr>
                      <w:bookmarkStart w:id="7" w:name="_heading=h.3znysh7" w:colFirst="0" w:colLast="0"/>
                      <w:bookmarkEnd w:id="7"/>
                      <w:r>
                        <w:rPr>
                          <w:rFonts w:ascii="Calibri" w:eastAsia="Calibri" w:hAnsi="Calibri" w:cs="Calibri"/>
                          <w:sz w:val="20"/>
                          <w:szCs w:val="20"/>
                        </w:rPr>
                        <w:t>Free resources to help you file your tax return:</w:t>
                      </w:r>
                    </w:p>
                    <w:p w14:paraId="46E22C8C"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0"/>
                        <w:ind w:left="1300"/>
                        <w:rPr>
                          <w:color w:val="000000"/>
                          <w:sz w:val="20"/>
                          <w:szCs w:val="20"/>
                        </w:rPr>
                      </w:pPr>
                      <w:r>
                        <w:rPr>
                          <w:rFonts w:ascii="Calibri" w:eastAsia="Calibri" w:hAnsi="Calibri" w:cs="Calibri"/>
                          <w:b/>
                          <w:sz w:val="20"/>
                          <w:szCs w:val="20"/>
                        </w:rPr>
                        <w:t xml:space="preserve">EITC Brochure in Spanish/English: </w:t>
                      </w:r>
                      <w:r>
                        <w:rPr>
                          <w:rFonts w:ascii="Calibri" w:eastAsia="Calibri" w:hAnsi="Calibri" w:cs="Calibri"/>
                          <w:sz w:val="20"/>
                          <w:szCs w:val="20"/>
                        </w:rPr>
                        <w:t xml:space="preserve">This </w:t>
                      </w:r>
                      <w:hyperlink r:id="rId15">
                        <w:r>
                          <w:rPr>
                            <w:rFonts w:ascii="Calibri" w:eastAsia="Calibri" w:hAnsi="Calibri" w:cs="Calibri"/>
                            <w:sz w:val="20"/>
                            <w:szCs w:val="20"/>
                            <w:u w:val="single"/>
                          </w:rPr>
                          <w:t>printable brochure</w:t>
                        </w:r>
                      </w:hyperlink>
                      <w:r>
                        <w:rPr>
                          <w:rFonts w:ascii="Calibri" w:eastAsia="Calibri" w:hAnsi="Calibri" w:cs="Calibri"/>
                          <w:sz w:val="20"/>
                          <w:szCs w:val="20"/>
                        </w:rPr>
                        <w:t xml:space="preserve"> provides information about the Federal and California Earned Income Tax Credits (EITCs) along with the eligibility requirements.</w:t>
                      </w:r>
                    </w:p>
                    <w:p w14:paraId="6DD3D830"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0"/>
                        <w:ind w:left="1300"/>
                        <w:rPr>
                          <w:color w:val="000000"/>
                          <w:sz w:val="20"/>
                          <w:szCs w:val="20"/>
                        </w:rPr>
                      </w:pPr>
                      <w:r>
                        <w:rPr>
                          <w:rFonts w:ascii="Calibri" w:eastAsia="Calibri" w:hAnsi="Calibri" w:cs="Calibri"/>
                          <w:b/>
                          <w:sz w:val="20"/>
                          <w:szCs w:val="20"/>
                        </w:rPr>
                        <w:t xml:space="preserve">Internal Revenue Service (IRS): </w:t>
                      </w:r>
                      <w:r>
                        <w:rPr>
                          <w:rFonts w:ascii="Calibri" w:eastAsia="Calibri" w:hAnsi="Calibri" w:cs="Calibri"/>
                          <w:sz w:val="20"/>
                          <w:szCs w:val="20"/>
                        </w:rPr>
                        <w:t xml:space="preserve">For more information about the Federal EITC, please visit the </w:t>
                      </w:r>
                      <w:hyperlink r:id="rId16">
                        <w:r>
                          <w:rPr>
                            <w:rFonts w:ascii="Calibri" w:eastAsia="Calibri" w:hAnsi="Calibri" w:cs="Calibri"/>
                            <w:sz w:val="20"/>
                            <w:szCs w:val="20"/>
                            <w:u w:val="single"/>
                          </w:rPr>
                          <w:t xml:space="preserve">EITC </w:t>
                        </w:r>
                      </w:hyperlink>
                      <w:r>
                        <w:rPr>
                          <w:rFonts w:ascii="Calibri" w:eastAsia="Calibri" w:hAnsi="Calibri" w:cs="Calibri"/>
                          <w:sz w:val="20"/>
                          <w:szCs w:val="20"/>
                        </w:rPr>
                        <w:t>web site or call 1-800-829-1040.</w:t>
                      </w:r>
                    </w:p>
                    <w:p w14:paraId="7319A7C4"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0"/>
                        <w:ind w:left="1300"/>
                        <w:rPr>
                          <w:color w:val="000000"/>
                          <w:sz w:val="20"/>
                          <w:szCs w:val="20"/>
                        </w:rPr>
                      </w:pPr>
                      <w:r>
                        <w:rPr>
                          <w:rFonts w:ascii="Calibri" w:eastAsia="Calibri" w:hAnsi="Calibri" w:cs="Calibri"/>
                          <w:b/>
                          <w:sz w:val="20"/>
                          <w:szCs w:val="20"/>
                        </w:rPr>
                        <w:t xml:space="preserve">Franchise Tax Board (FTB): </w:t>
                      </w:r>
                      <w:r>
                        <w:rPr>
                          <w:rFonts w:ascii="Calibri" w:eastAsia="Calibri" w:hAnsi="Calibri" w:cs="Calibri"/>
                          <w:sz w:val="20"/>
                          <w:szCs w:val="20"/>
                        </w:rPr>
                        <w:t xml:space="preserve">File your state tax return directly to FTB for free with </w:t>
                      </w:r>
                      <w:hyperlink r:id="rId17">
                        <w:proofErr w:type="spellStart"/>
                        <w:r>
                          <w:rPr>
                            <w:rFonts w:ascii="Calibri" w:eastAsia="Calibri" w:hAnsi="Calibri" w:cs="Calibri"/>
                            <w:sz w:val="20"/>
                            <w:szCs w:val="20"/>
                            <w:u w:val="single"/>
                          </w:rPr>
                          <w:t>CalFile</w:t>
                        </w:r>
                        <w:proofErr w:type="spellEnd"/>
                      </w:hyperlink>
                      <w:r>
                        <w:rPr>
                          <w:rFonts w:ascii="Calibri" w:eastAsia="Calibri" w:hAnsi="Calibri" w:cs="Calibri"/>
                          <w:sz w:val="20"/>
                          <w:szCs w:val="20"/>
                        </w:rPr>
                        <w:t xml:space="preserve">. For more information, please contact FTB at 1-800-852-5711 or visit the </w:t>
                      </w:r>
                      <w:hyperlink r:id="rId18">
                        <w:proofErr w:type="spellStart"/>
                        <w:r>
                          <w:rPr>
                            <w:rFonts w:ascii="Calibri" w:eastAsia="Calibri" w:hAnsi="Calibri" w:cs="Calibri"/>
                            <w:sz w:val="20"/>
                            <w:szCs w:val="20"/>
                            <w:u w:val="single"/>
                          </w:rPr>
                          <w:t>FTB</w:t>
                        </w:r>
                      </w:hyperlink>
                      <w:r>
                        <w:rPr>
                          <w:rFonts w:ascii="Calibri" w:eastAsia="Calibri" w:hAnsi="Calibri" w:cs="Calibri"/>
                          <w:sz w:val="20"/>
                          <w:szCs w:val="20"/>
                        </w:rPr>
                        <w:t>web</w:t>
                      </w:r>
                      <w:proofErr w:type="spellEnd"/>
                      <w:r>
                        <w:rPr>
                          <w:rFonts w:ascii="Calibri" w:eastAsia="Calibri" w:hAnsi="Calibri" w:cs="Calibri"/>
                          <w:sz w:val="20"/>
                          <w:szCs w:val="20"/>
                        </w:rPr>
                        <w:t xml:space="preserve"> site.</w:t>
                      </w:r>
                    </w:p>
                    <w:p w14:paraId="3A45EDA2" w14:textId="77777777" w:rsidR="00C32F42" w:rsidRDefault="00C32F42" w:rsidP="00C32F42">
                      <w:pPr>
                        <w:numPr>
                          <w:ilvl w:val="0"/>
                          <w:numId w:val="1"/>
                        </w:numPr>
                        <w:pBdr>
                          <w:top w:val="none" w:sz="0" w:space="0" w:color="000000"/>
                          <w:bottom w:val="none" w:sz="0" w:space="0" w:color="000000"/>
                          <w:right w:val="none" w:sz="0" w:space="0" w:color="000000"/>
                          <w:between w:val="none" w:sz="0" w:space="0" w:color="000000"/>
                        </w:pBdr>
                        <w:shd w:val="clear" w:color="auto" w:fill="FFFFFF"/>
                        <w:spacing w:after="560"/>
                        <w:ind w:left="1300"/>
                        <w:rPr>
                          <w:color w:val="000000"/>
                          <w:sz w:val="20"/>
                          <w:szCs w:val="20"/>
                        </w:rPr>
                      </w:pPr>
                      <w:proofErr w:type="spellStart"/>
                      <w:r>
                        <w:rPr>
                          <w:rFonts w:ascii="Calibri" w:eastAsia="Calibri" w:hAnsi="Calibri" w:cs="Calibri"/>
                          <w:b/>
                          <w:sz w:val="20"/>
                          <w:szCs w:val="20"/>
                        </w:rPr>
                        <w:t>CalEITC</w:t>
                      </w:r>
                      <w:proofErr w:type="spellEnd"/>
                      <w:r>
                        <w:rPr>
                          <w:rFonts w:ascii="Calibri" w:eastAsia="Calibri" w:hAnsi="Calibri" w:cs="Calibri"/>
                          <w:sz w:val="20"/>
                          <w:szCs w:val="20"/>
                        </w:rPr>
                        <w:t xml:space="preserve">: California joins 24 other states and the District of Columbia in adopting a state EITC to supplement the federal EITC. For more information visit </w:t>
                      </w:r>
                      <w:hyperlink r:id="rId19">
                        <w:r>
                          <w:rPr>
                            <w:rFonts w:ascii="Calibri" w:eastAsia="Calibri" w:hAnsi="Calibri" w:cs="Calibri"/>
                            <w:sz w:val="20"/>
                            <w:szCs w:val="20"/>
                            <w:u w:val="single"/>
                          </w:rPr>
                          <w:t>CalEITC4Me</w:t>
                        </w:r>
                      </w:hyperlink>
                      <w:r>
                        <w:rPr>
                          <w:rFonts w:ascii="Calibri" w:eastAsia="Calibri" w:hAnsi="Calibri" w:cs="Calibri"/>
                          <w:sz w:val="20"/>
                          <w:szCs w:val="20"/>
                        </w:rPr>
                        <w:t xml:space="preserve">. In addition to </w:t>
                      </w:r>
                      <w:hyperlink r:id="rId20">
                        <w:r>
                          <w:rPr>
                            <w:rFonts w:ascii="Calibri" w:eastAsia="Calibri" w:hAnsi="Calibri" w:cs="Calibri"/>
                            <w:sz w:val="20"/>
                            <w:szCs w:val="20"/>
                            <w:u w:val="single"/>
                          </w:rPr>
                          <w:t xml:space="preserve">the </w:t>
                        </w:r>
                        <w:proofErr w:type="spellStart"/>
                        <w:r>
                          <w:rPr>
                            <w:rFonts w:ascii="Calibri" w:eastAsia="Calibri" w:hAnsi="Calibri" w:cs="Calibri"/>
                            <w:sz w:val="20"/>
                            <w:szCs w:val="20"/>
                            <w:u w:val="single"/>
                          </w:rPr>
                          <w:t>CalEITC</w:t>
                        </w:r>
                        <w:proofErr w:type="spellEnd"/>
                        <w:r>
                          <w:rPr>
                            <w:rFonts w:ascii="Calibri" w:eastAsia="Calibri" w:hAnsi="Calibri" w:cs="Calibri"/>
                            <w:sz w:val="20"/>
                            <w:szCs w:val="20"/>
                            <w:u w:val="single"/>
                          </w:rPr>
                          <w:t xml:space="preserve"> Calculator</w:t>
                        </w:r>
                      </w:hyperlink>
                      <w:r>
                        <w:rPr>
                          <w:rFonts w:ascii="Calibri" w:eastAsia="Calibri" w:hAnsi="Calibri" w:cs="Calibri"/>
                          <w:sz w:val="20"/>
                          <w:szCs w:val="20"/>
                        </w:rPr>
                        <w:t xml:space="preserve"> to determine how much money eligible filers can get back, and a </w:t>
                      </w:r>
                      <w:hyperlink r:id="rId21">
                        <w:r>
                          <w:rPr>
                            <w:rFonts w:ascii="Calibri" w:eastAsia="Calibri" w:hAnsi="Calibri" w:cs="Calibri"/>
                            <w:sz w:val="20"/>
                            <w:szCs w:val="20"/>
                            <w:u w:val="single"/>
                          </w:rPr>
                          <w:t>Free Tax Prep Finder</w:t>
                        </w:r>
                      </w:hyperlink>
                      <w:r>
                        <w:rPr>
                          <w:rFonts w:ascii="Calibri" w:eastAsia="Calibri" w:hAnsi="Calibri" w:cs="Calibri"/>
                          <w:sz w:val="20"/>
                          <w:szCs w:val="20"/>
                        </w:rPr>
                        <w:t xml:space="preserve"> to help people find convenient free tax preparation sites in their neighborhoods.</w:t>
                      </w:r>
                    </w:p>
                    <w:p w14:paraId="4E538781" w14:textId="77777777" w:rsidR="00435137" w:rsidRDefault="00435137"/>
                    <w:p w14:paraId="75824E14" w14:textId="77777777" w:rsidR="00435137" w:rsidRDefault="00435137"/>
                    <w:p w14:paraId="22FA5CE3" w14:textId="77777777" w:rsidR="00435137" w:rsidRDefault="00435137"/>
                    <w:p w14:paraId="79CA419C" w14:textId="77777777" w:rsidR="00435137" w:rsidRDefault="00435137"/>
                    <w:p w14:paraId="5F43F302" w14:textId="77777777" w:rsidR="00435137" w:rsidRDefault="00435137"/>
                  </w:txbxContent>
                </v:textbox>
              </v:shape>
            </w:pict>
          </mc:Fallback>
        </mc:AlternateContent>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r w:rsidR="009010AA" w:rsidRPr="00435137">
        <w:rPr>
          <w:rFonts w:ascii="Garamond" w:hAnsi="Garamond"/>
          <w:color w:val="244061" w:themeColor="accent1" w:themeShade="80"/>
        </w:rPr>
        <w:tab/>
      </w:r>
    </w:p>
    <w:sectPr w:rsidR="009010AA" w:rsidRPr="00435137" w:rsidSect="00A37368">
      <w:footerReference w:type="default" r:id="rId22"/>
      <w:pgSz w:w="12240" w:h="15840"/>
      <w:pgMar w:top="27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3952F" w14:textId="77777777" w:rsidR="005B3E81" w:rsidRDefault="005B3E81" w:rsidP="00435137">
      <w:pPr>
        <w:spacing w:after="0" w:line="240" w:lineRule="auto"/>
      </w:pPr>
      <w:r>
        <w:separator/>
      </w:r>
    </w:p>
  </w:endnote>
  <w:endnote w:type="continuationSeparator" w:id="0">
    <w:p w14:paraId="3463C152" w14:textId="77777777" w:rsidR="005B3E81" w:rsidRDefault="005B3E81" w:rsidP="00435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C223" w14:textId="77777777" w:rsidR="00435137" w:rsidRDefault="00435137" w:rsidP="00435137">
    <w:pPr>
      <w:pStyle w:val="Footer"/>
      <w:jc w:val="center"/>
      <w:rPr>
        <w:rFonts w:ascii="Garamond" w:hAnsi="Garamond"/>
        <w:b/>
        <w:color w:val="244061" w:themeColor="accent1" w:themeShade="80"/>
      </w:rPr>
    </w:pPr>
  </w:p>
  <w:p w14:paraId="1DADB2ED" w14:textId="77777777" w:rsidR="00435137" w:rsidRPr="00435137" w:rsidRDefault="00435137" w:rsidP="00435137">
    <w:pPr>
      <w:pStyle w:val="Footer"/>
      <w:jc w:val="center"/>
      <w:rPr>
        <w:rFonts w:ascii="Garamond" w:hAnsi="Garamond"/>
        <w:b/>
        <w:color w:val="244061" w:themeColor="accent1" w:themeShade="80"/>
      </w:rPr>
    </w:pPr>
    <w:r w:rsidRPr="00435137">
      <w:rPr>
        <w:rFonts w:ascii="Garamond" w:hAnsi="Garamond"/>
        <w:b/>
        <w:color w:val="244061" w:themeColor="accent1" w:themeShade="80"/>
      </w:rPr>
      <w:t>Orin Hirschkorn, Superintendent</w:t>
    </w:r>
  </w:p>
  <w:p w14:paraId="2BB5EB77" w14:textId="77777777" w:rsidR="00435137" w:rsidRPr="00435137" w:rsidRDefault="00435137" w:rsidP="00435137">
    <w:pPr>
      <w:pStyle w:val="Footer"/>
      <w:jc w:val="center"/>
      <w:rPr>
        <w:rFonts w:ascii="Garamond" w:hAnsi="Garamond"/>
        <w:b/>
        <w:color w:val="244061" w:themeColor="accent1" w:themeShade="80"/>
      </w:rPr>
    </w:pPr>
    <w:r w:rsidRPr="00435137">
      <w:rPr>
        <w:rFonts w:ascii="Garamond" w:hAnsi="Garamond"/>
        <w:b/>
        <w:color w:val="244061" w:themeColor="accent1" w:themeShade="80"/>
      </w:rPr>
      <w:t>Bo</w:t>
    </w:r>
    <w:r w:rsidR="00D57CF2">
      <w:rPr>
        <w:rFonts w:ascii="Garamond" w:hAnsi="Garamond"/>
        <w:b/>
        <w:color w:val="244061" w:themeColor="accent1" w:themeShade="80"/>
      </w:rPr>
      <w:t>ard of Trustees – Michael Reid,</w:t>
    </w:r>
    <w:r w:rsidR="0096312F">
      <w:rPr>
        <w:rFonts w:ascii="Garamond" w:hAnsi="Garamond"/>
        <w:b/>
        <w:color w:val="244061" w:themeColor="accent1" w:themeShade="80"/>
      </w:rPr>
      <w:t xml:space="preserve"> </w:t>
    </w:r>
    <w:r w:rsidR="003804CC">
      <w:rPr>
        <w:rFonts w:ascii="Garamond" w:hAnsi="Garamond"/>
        <w:b/>
        <w:color w:val="244061" w:themeColor="accent1" w:themeShade="80"/>
      </w:rPr>
      <w:t xml:space="preserve">Kathy Spate, </w:t>
    </w:r>
    <w:r w:rsidRPr="00435137">
      <w:rPr>
        <w:rFonts w:ascii="Garamond" w:hAnsi="Garamond"/>
        <w:b/>
        <w:color w:val="244061" w:themeColor="accent1" w:themeShade="80"/>
      </w:rPr>
      <w:t>Darren Gilmore</w:t>
    </w:r>
    <w:r w:rsidR="00D57CF2">
      <w:rPr>
        <w:rFonts w:ascii="Garamond" w:hAnsi="Garamond"/>
        <w:b/>
        <w:color w:val="244061" w:themeColor="accent1" w:themeShade="80"/>
      </w:rPr>
      <w:t xml:space="preserve">, </w:t>
    </w:r>
    <w:proofErr w:type="spellStart"/>
    <w:r w:rsidR="00D57CF2">
      <w:rPr>
        <w:rFonts w:ascii="Garamond" w:hAnsi="Garamond"/>
        <w:b/>
        <w:color w:val="244061" w:themeColor="accent1" w:themeShade="80"/>
      </w:rPr>
      <w:t>Valori</w:t>
    </w:r>
    <w:proofErr w:type="spellEnd"/>
    <w:r w:rsidR="00D57CF2">
      <w:rPr>
        <w:rFonts w:ascii="Garamond" w:hAnsi="Garamond"/>
        <w:b/>
        <w:color w:val="244061" w:themeColor="accent1" w:themeShade="80"/>
      </w:rPr>
      <w:t xml:space="preserve"> Gallaher</w:t>
    </w:r>
    <w:r w:rsidR="003804CC">
      <w:rPr>
        <w:rFonts w:ascii="Garamond" w:hAnsi="Garamond"/>
        <w:b/>
        <w:color w:val="244061" w:themeColor="accent1" w:themeShade="80"/>
      </w:rPr>
      <w:t>, James Cummings</w:t>
    </w:r>
  </w:p>
  <w:p w14:paraId="7D170500" w14:textId="77777777" w:rsidR="00435137" w:rsidRPr="00435137" w:rsidRDefault="00435137" w:rsidP="00435137">
    <w:pPr>
      <w:pStyle w:val="Footer"/>
      <w:jc w:val="center"/>
      <w:rPr>
        <w:rFonts w:ascii="Garamond" w:hAnsi="Garamond"/>
        <w:b/>
        <w:color w:val="244061" w:themeColor="accent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0F36A" w14:textId="77777777" w:rsidR="005B3E81" w:rsidRDefault="005B3E81" w:rsidP="00435137">
      <w:pPr>
        <w:spacing w:after="0" w:line="240" w:lineRule="auto"/>
      </w:pPr>
      <w:r>
        <w:separator/>
      </w:r>
    </w:p>
  </w:footnote>
  <w:footnote w:type="continuationSeparator" w:id="0">
    <w:p w14:paraId="5DC9EA0D" w14:textId="77777777" w:rsidR="005B3E81" w:rsidRDefault="005B3E81" w:rsidP="004351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616C7"/>
    <w:multiLevelType w:val="multilevel"/>
    <w:tmpl w:val="F49CAC72"/>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939"/>
    <w:rsid w:val="0000485F"/>
    <w:rsid w:val="002A714F"/>
    <w:rsid w:val="00306D4E"/>
    <w:rsid w:val="00330168"/>
    <w:rsid w:val="003804CC"/>
    <w:rsid w:val="00435137"/>
    <w:rsid w:val="004A417D"/>
    <w:rsid w:val="004B031C"/>
    <w:rsid w:val="005B3E81"/>
    <w:rsid w:val="005C7159"/>
    <w:rsid w:val="006438E2"/>
    <w:rsid w:val="006811F4"/>
    <w:rsid w:val="006F454F"/>
    <w:rsid w:val="00823497"/>
    <w:rsid w:val="009010AA"/>
    <w:rsid w:val="00903852"/>
    <w:rsid w:val="0096312F"/>
    <w:rsid w:val="009B79E4"/>
    <w:rsid w:val="009D1321"/>
    <w:rsid w:val="00A37368"/>
    <w:rsid w:val="00A74A84"/>
    <w:rsid w:val="00B078FA"/>
    <w:rsid w:val="00BD2C7D"/>
    <w:rsid w:val="00C32F42"/>
    <w:rsid w:val="00C60EA2"/>
    <w:rsid w:val="00CA1357"/>
    <w:rsid w:val="00D131B0"/>
    <w:rsid w:val="00D26568"/>
    <w:rsid w:val="00D57CF2"/>
    <w:rsid w:val="00DC4C2D"/>
    <w:rsid w:val="00E12142"/>
    <w:rsid w:val="00F76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7A567A"/>
  <w15:docId w15:val="{B8975AC3-7644-4C3E-97EA-D8F4E146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32F42"/>
    <w:pPr>
      <w:keepNext/>
      <w:keepLines/>
      <w:spacing w:before="360" w:after="120"/>
      <w:outlineLvl w:val="1"/>
    </w:pPr>
    <w:rPr>
      <w:rFonts w:ascii="Arial" w:eastAsia="Arial" w:hAnsi="Arial" w:cs="Arial"/>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69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939"/>
    <w:rPr>
      <w:rFonts w:ascii="Tahoma" w:hAnsi="Tahoma" w:cs="Tahoma"/>
      <w:sz w:val="16"/>
      <w:szCs w:val="16"/>
    </w:rPr>
  </w:style>
  <w:style w:type="paragraph" w:styleId="NoSpacing">
    <w:name w:val="No Spacing"/>
    <w:uiPriority w:val="1"/>
    <w:qFormat/>
    <w:rsid w:val="009010AA"/>
    <w:pPr>
      <w:spacing w:after="0" w:line="240" w:lineRule="auto"/>
    </w:pPr>
  </w:style>
  <w:style w:type="paragraph" w:styleId="Header">
    <w:name w:val="header"/>
    <w:basedOn w:val="Normal"/>
    <w:link w:val="HeaderChar"/>
    <w:uiPriority w:val="99"/>
    <w:unhideWhenUsed/>
    <w:rsid w:val="00435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137"/>
  </w:style>
  <w:style w:type="paragraph" w:styleId="Footer">
    <w:name w:val="footer"/>
    <w:basedOn w:val="Normal"/>
    <w:link w:val="FooterChar"/>
    <w:uiPriority w:val="99"/>
    <w:unhideWhenUsed/>
    <w:rsid w:val="00435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137"/>
  </w:style>
  <w:style w:type="character" w:customStyle="1" w:styleId="Heading2Char">
    <w:name w:val="Heading 2 Char"/>
    <w:basedOn w:val="DefaultParagraphFont"/>
    <w:link w:val="Heading2"/>
    <w:uiPriority w:val="9"/>
    <w:rsid w:val="00C32F42"/>
    <w:rPr>
      <w:rFonts w:ascii="Arial" w:eastAsia="Arial" w:hAnsi="Arial" w:cs="Arial"/>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ss.ca.gov/Portals/9/FMUForms/M-P/PUB428.pdf" TargetMode="External"/><Relationship Id="rId13" Type="http://schemas.openxmlformats.org/officeDocument/2006/relationships/hyperlink" Target="http://caleitc4me.org/earn-it/" TargetMode="External"/><Relationship Id="rId18" Type="http://schemas.openxmlformats.org/officeDocument/2006/relationships/hyperlink" Target="https://www.ftb.ca.gov/individuals/faq/net/900.shtml" TargetMode="External"/><Relationship Id="rId3" Type="http://schemas.openxmlformats.org/officeDocument/2006/relationships/settings" Target="settings.xml"/><Relationship Id="rId21" Type="http://schemas.openxmlformats.org/officeDocument/2006/relationships/hyperlink" Target="http://caleitc4me.org/get-it/" TargetMode="External"/><Relationship Id="rId7" Type="http://schemas.openxmlformats.org/officeDocument/2006/relationships/image" Target="media/image1.png"/><Relationship Id="rId12" Type="http://schemas.openxmlformats.org/officeDocument/2006/relationships/hyperlink" Target="http://caleitc4me.org/" TargetMode="External"/><Relationship Id="rId17" Type="http://schemas.openxmlformats.org/officeDocument/2006/relationships/hyperlink" Target="https://www.ftb.ca.gov/online/calfile/" TargetMode="External"/><Relationship Id="rId2" Type="http://schemas.openxmlformats.org/officeDocument/2006/relationships/styles" Target="styles.xml"/><Relationship Id="rId16" Type="http://schemas.openxmlformats.org/officeDocument/2006/relationships/hyperlink" Target="https://www.irs.gov/Credits-&amp;-Deductions/Individuals/Earned-Income-Tax-Credit" TargetMode="External"/><Relationship Id="rId20" Type="http://schemas.openxmlformats.org/officeDocument/2006/relationships/hyperlink" Target="http://caleitc4me.org/earn-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tb.ca.gov/individuals/faq/net/900.s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dss.ca.gov/Portals/9/FMUForms/M-P/PUB428.pdf" TargetMode="External"/><Relationship Id="rId23" Type="http://schemas.openxmlformats.org/officeDocument/2006/relationships/fontTable" Target="fontTable.xml"/><Relationship Id="rId10" Type="http://schemas.openxmlformats.org/officeDocument/2006/relationships/hyperlink" Target="https://www.ftb.ca.gov/online/calfile/" TargetMode="External"/><Relationship Id="rId19" Type="http://schemas.openxmlformats.org/officeDocument/2006/relationships/hyperlink" Target="http://caleitc4me.org/" TargetMode="External"/><Relationship Id="rId4" Type="http://schemas.openxmlformats.org/officeDocument/2006/relationships/webSettings" Target="webSettings.xml"/><Relationship Id="rId9" Type="http://schemas.openxmlformats.org/officeDocument/2006/relationships/hyperlink" Target="https://www.irs.gov/Credits-&amp;-Deductions/Individuals/Earned-Income-Tax-Credit" TargetMode="External"/><Relationship Id="rId14" Type="http://schemas.openxmlformats.org/officeDocument/2006/relationships/hyperlink" Target="http://caleitc4me.org/get-i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Words>
  <Characters>122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CUSD</Company>
  <LinksUpToDate>false</LinksUpToDate>
  <CharactersWithSpaces>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Eisley</dc:creator>
  <cp:lastModifiedBy>Penny Nason</cp:lastModifiedBy>
  <cp:revision>2</cp:revision>
  <cp:lastPrinted>2016-08-04T23:00:00Z</cp:lastPrinted>
  <dcterms:created xsi:type="dcterms:W3CDTF">2023-01-19T19:20:00Z</dcterms:created>
  <dcterms:modified xsi:type="dcterms:W3CDTF">2023-01-19T19:20:00Z</dcterms:modified>
</cp:coreProperties>
</file>