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715" w:rsidRDefault="002D3ACA">
      <w:bookmarkStart w:id="0" w:name="_GoBack"/>
      <w:r>
        <w:t>How can you meet the needs of the people and balance the welfare budget?  Be sure to include problems associated with poverty (employed and unemployed).  You should also include some government solutions to poverty.  Use the list of welfare programs to determine which programs are “non-essential.”  Find 4 programs to cut from Welfare.  For each program, you need to justify your decision to eliminate it and explain how it will or will not affect people living poverty.</w:t>
      </w:r>
      <w:bookmarkEnd w:id="0"/>
    </w:p>
    <w:sectPr w:rsidR="00ED3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ACA"/>
    <w:rsid w:val="002D3ACA"/>
    <w:rsid w:val="004B4941"/>
    <w:rsid w:val="00855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70</Words>
  <Characters>402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Mowery</dc:creator>
  <cp:lastModifiedBy>Kristen Mowery</cp:lastModifiedBy>
  <cp:revision>1</cp:revision>
  <dcterms:created xsi:type="dcterms:W3CDTF">2015-05-06T17:33:00Z</dcterms:created>
  <dcterms:modified xsi:type="dcterms:W3CDTF">2015-05-06T17:41:00Z</dcterms:modified>
</cp:coreProperties>
</file>