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F56" w:rsidRDefault="00A22F56">
      <w:pPr>
        <w:widowControl w:val="0"/>
        <w:pBdr>
          <w:top w:val="nil"/>
          <w:left w:val="nil"/>
          <w:bottom w:val="nil"/>
          <w:right w:val="nil"/>
          <w:between w:val="nil"/>
        </w:pBdr>
        <w:spacing w:line="276" w:lineRule="auto"/>
        <w:ind w:left="0" w:hanging="2"/>
      </w:pPr>
      <w:bookmarkStart w:id="0" w:name="_GoBack"/>
      <w:bookmarkEnd w:id="0"/>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506037">
      <w:pPr>
        <w:ind w:left="1" w:hanging="3"/>
        <w:jc w:val="center"/>
        <w:rPr>
          <w:rFonts w:ascii="Garamond" w:eastAsia="Garamond" w:hAnsi="Garamond" w:cs="Garamond"/>
          <w:sz w:val="32"/>
          <w:szCs w:val="32"/>
        </w:rPr>
      </w:pPr>
      <w:r>
        <w:rPr>
          <w:rFonts w:ascii="Garamond" w:eastAsia="Garamond" w:hAnsi="Garamond" w:cs="Garamond"/>
          <w:b/>
          <w:sz w:val="32"/>
          <w:szCs w:val="32"/>
        </w:rPr>
        <w:t>BRISTOL WARREN REGIONAL SCHOOL DISTRICT</w:t>
      </w:r>
    </w:p>
    <w:p w:rsidR="00A22F56" w:rsidRDefault="00A22F56">
      <w:pPr>
        <w:ind w:left="1" w:hanging="3"/>
        <w:jc w:val="center"/>
        <w:rPr>
          <w:rFonts w:ascii="Garamond" w:eastAsia="Garamond" w:hAnsi="Garamond" w:cs="Garamond"/>
          <w:sz w:val="32"/>
          <w:szCs w:val="32"/>
        </w:rPr>
      </w:pPr>
    </w:p>
    <w:p w:rsidR="00A22F56" w:rsidRDefault="00A22F56">
      <w:pPr>
        <w:ind w:left="1" w:hanging="3"/>
        <w:jc w:val="center"/>
        <w:rPr>
          <w:rFonts w:ascii="Garamond" w:eastAsia="Garamond" w:hAnsi="Garamond" w:cs="Garamond"/>
          <w:sz w:val="32"/>
          <w:szCs w:val="32"/>
        </w:rPr>
      </w:pPr>
    </w:p>
    <w:p w:rsidR="00A22F56" w:rsidRDefault="00A22F56">
      <w:pPr>
        <w:ind w:left="1" w:hanging="3"/>
        <w:jc w:val="center"/>
        <w:rPr>
          <w:rFonts w:ascii="Garamond" w:eastAsia="Garamond" w:hAnsi="Garamond" w:cs="Garamond"/>
          <w:sz w:val="32"/>
          <w:szCs w:val="32"/>
        </w:rPr>
      </w:pPr>
    </w:p>
    <w:p w:rsidR="00A22F56" w:rsidRDefault="00A22F56">
      <w:pPr>
        <w:ind w:left="1" w:hanging="3"/>
        <w:jc w:val="center"/>
        <w:rPr>
          <w:rFonts w:ascii="Garamond" w:eastAsia="Garamond" w:hAnsi="Garamond" w:cs="Garamond"/>
          <w:sz w:val="32"/>
          <w:szCs w:val="32"/>
        </w:rPr>
      </w:pPr>
    </w:p>
    <w:p w:rsidR="00A22F56" w:rsidRDefault="00506037">
      <w:pPr>
        <w:ind w:left="1" w:hanging="3"/>
        <w:jc w:val="center"/>
        <w:rPr>
          <w:rFonts w:ascii="Garamond" w:eastAsia="Garamond" w:hAnsi="Garamond" w:cs="Garamond"/>
          <w:sz w:val="32"/>
          <w:szCs w:val="32"/>
        </w:rPr>
      </w:pPr>
      <w:r>
        <w:rPr>
          <w:rFonts w:ascii="Garamond" w:eastAsia="Garamond" w:hAnsi="Garamond" w:cs="Garamond"/>
          <w:b/>
          <w:sz w:val="32"/>
          <w:szCs w:val="32"/>
        </w:rPr>
        <w:t>AUDIT BID AND UNIFORM CHART OF ACCOUNTS (UCOA)</w:t>
      </w:r>
    </w:p>
    <w:p w:rsidR="00A22F56" w:rsidRDefault="00506037">
      <w:pPr>
        <w:ind w:left="1" w:hanging="3"/>
        <w:jc w:val="center"/>
        <w:rPr>
          <w:rFonts w:ascii="Garamond" w:eastAsia="Garamond" w:hAnsi="Garamond" w:cs="Garamond"/>
          <w:sz w:val="32"/>
          <w:szCs w:val="32"/>
        </w:rPr>
      </w:pPr>
      <w:r>
        <w:rPr>
          <w:rFonts w:ascii="Garamond" w:eastAsia="Garamond" w:hAnsi="Garamond" w:cs="Garamond"/>
          <w:b/>
          <w:sz w:val="32"/>
          <w:szCs w:val="32"/>
        </w:rPr>
        <w:t>AGREED-UPON PROCEDURES BID</w:t>
      </w:r>
    </w:p>
    <w:p w:rsidR="00A22F56" w:rsidRDefault="00A22F56">
      <w:pPr>
        <w:ind w:left="1" w:hanging="3"/>
        <w:jc w:val="center"/>
        <w:rPr>
          <w:sz w:val="32"/>
          <w:szCs w:val="32"/>
        </w:rPr>
      </w:pPr>
    </w:p>
    <w:p w:rsidR="00A22F56" w:rsidRDefault="00A22F56">
      <w:pPr>
        <w:ind w:left="1" w:hanging="3"/>
        <w:jc w:val="center"/>
        <w:rPr>
          <w:sz w:val="32"/>
          <w:szCs w:val="32"/>
        </w:rPr>
      </w:pPr>
    </w:p>
    <w:p w:rsidR="00A22F56" w:rsidRDefault="00506037">
      <w:pPr>
        <w:ind w:left="0" w:hanging="2"/>
        <w:jc w:val="center"/>
        <w:rPr>
          <w:sz w:val="32"/>
          <w:szCs w:val="32"/>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1828800</wp:posOffset>
                </wp:positionH>
                <wp:positionV relativeFrom="paragraph">
                  <wp:posOffset>66040</wp:posOffset>
                </wp:positionV>
                <wp:extent cx="3155315" cy="2922905"/>
                <wp:effectExtent l="0" t="0" r="0" b="0"/>
                <wp:wrapNone/>
                <wp:docPr id="1030" name="Text Box 1030"/>
                <wp:cNvGraphicFramePr/>
                <a:graphic xmlns:a="http://schemas.openxmlformats.org/drawingml/2006/main">
                  <a:graphicData uri="http://schemas.microsoft.com/office/word/2010/wordprocessingShape">
                    <wps:wsp>
                      <wps:cNvSpPr txBox="1"/>
                      <wps:spPr>
                        <a:xfrm>
                          <a:off x="0" y="0"/>
                          <a:ext cx="3155315" cy="2922905"/>
                        </a:xfrm>
                        <a:prstGeom prst="rect">
                          <a:avLst/>
                        </a:prstGeom>
                        <a:noFill/>
                        <a:ln w="9525" cap="flat" cmpd="sng" algn="ctr">
                          <a:noFill/>
                          <a:miter lim="800000"/>
                          <a:headEnd/>
                          <a:tailEnd/>
                        </a:ln>
                      </wps:spPr>
                      <wps:txbx>
                        <w:txbxContent>
                          <w:p w:rsidR="003D52B4" w:rsidRDefault="00506037">
                            <w:pPr>
                              <w:ind w:left="0" w:hanging="2"/>
                            </w:pPr>
                            <w:r>
                              <w:rPr>
                                <w:noProof/>
                                <w:specVanish/>
                              </w:rPr>
                              <w:drawing>
                                <wp:inline distT="0" distB="0" distL="114300" distR="114300">
                                  <wp:extent cx="2971800" cy="283083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r:embed="rId8"/>
                                          <a:srcRect/>
                                          <a:stretch>
                                            <a:fillRect/>
                                          </a:stretch>
                                        </pic:blipFill>
                                        <pic:spPr bwMode="clr">
                                          <a:xfrm>
                                            <a:off x="0" y="0"/>
                                            <a:ext cx="2971800" cy="2830830"/>
                                          </a:xfrm>
                                          <a:prstGeom prst="rect">
                                            <a:avLst/>
                                          </a:prstGeom>
                                          <a:noFill/>
                                          <a:ln w="9525" cap="rnd" cmpd="sng" algn="ctr">
                                            <a:noFill/>
                                            <a:miter lim="800000"/>
                                            <a:headEnd/>
                                            <a:tailEnd/>
                                          </a:ln>
                                        </pic:spPr>
                                      </pic:pic>
                                    </a:graphicData>
                                  </a:graphic>
                                </wp:inline>
                              </w:drawing>
                            </w:r>
                          </w:p>
                          <w:p w:rsidR="003D52B4" w:rsidRDefault="00506037">
                            <w:pPr>
                              <w:ind w:left="0" w:hanging="2"/>
                            </w:pPr>
                          </w:p>
                        </w:txbxContent>
                      </wps:txbx>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1828800</wp:posOffset>
                </wp:positionH>
                <wp:positionV relativeFrom="paragraph">
                  <wp:posOffset>66040</wp:posOffset>
                </wp:positionV>
                <wp:extent cx="3155315" cy="2922905"/>
                <wp:effectExtent b="0" l="0" r="0" t="0"/>
                <wp:wrapNone/>
                <wp:docPr id="103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155315" cy="2922905"/>
                        </a:xfrm>
                        <a:prstGeom prst="rect"/>
                        <a:ln/>
                      </pic:spPr>
                    </pic:pic>
                  </a:graphicData>
                </a:graphic>
              </wp:anchor>
            </w:drawing>
          </mc:Fallback>
        </mc:AlternateContent>
      </w:r>
    </w:p>
    <w:p w:rsidR="00A22F56" w:rsidRDefault="00A22F56">
      <w:pPr>
        <w:ind w:left="1" w:hanging="3"/>
        <w:jc w:val="center"/>
        <w:rPr>
          <w:sz w:val="32"/>
          <w:szCs w:val="32"/>
        </w:rPr>
      </w:pPr>
    </w:p>
    <w:p w:rsidR="00A22F56" w:rsidRDefault="00A22F56">
      <w:pPr>
        <w:ind w:left="1" w:hanging="3"/>
        <w:jc w:val="center"/>
        <w:rPr>
          <w:sz w:val="32"/>
          <w:szCs w:val="32"/>
        </w:rPr>
      </w:pPr>
    </w:p>
    <w:p w:rsidR="00A22F56" w:rsidRDefault="00A22F56">
      <w:pPr>
        <w:ind w:left="1" w:hanging="3"/>
        <w:jc w:val="center"/>
        <w:rPr>
          <w:sz w:val="32"/>
          <w:szCs w:val="32"/>
        </w:rPr>
      </w:pPr>
    </w:p>
    <w:p w:rsidR="00A22F56" w:rsidRDefault="00A22F56">
      <w:pPr>
        <w:ind w:left="1" w:hanging="3"/>
        <w:jc w:val="center"/>
        <w:rPr>
          <w:sz w:val="32"/>
          <w:szCs w:val="32"/>
        </w:rPr>
      </w:pPr>
    </w:p>
    <w:p w:rsidR="00A22F56" w:rsidRDefault="00A22F56">
      <w:pPr>
        <w:ind w:left="1" w:hanging="3"/>
        <w:jc w:val="center"/>
        <w:rPr>
          <w:sz w:val="32"/>
          <w:szCs w:val="32"/>
        </w:rPr>
      </w:pPr>
    </w:p>
    <w:p w:rsidR="00A22F56" w:rsidRDefault="00A22F56">
      <w:pPr>
        <w:ind w:left="1" w:hanging="3"/>
        <w:jc w:val="center"/>
        <w:rPr>
          <w:sz w:val="32"/>
          <w:szCs w:val="32"/>
        </w:rPr>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pPr>
    </w:p>
    <w:p w:rsidR="00A22F56" w:rsidRDefault="00A22F56">
      <w:pPr>
        <w:ind w:left="0" w:hanging="2"/>
        <w:jc w:val="center"/>
        <w:rPr>
          <w:rFonts w:ascii="Garamond" w:eastAsia="Garamond" w:hAnsi="Garamond" w:cs="Garamond"/>
        </w:rPr>
      </w:pPr>
    </w:p>
    <w:p w:rsidR="00A22F56" w:rsidRDefault="00A22F56">
      <w:pPr>
        <w:ind w:left="0" w:hanging="2"/>
        <w:jc w:val="center"/>
        <w:rPr>
          <w:rFonts w:ascii="Garamond" w:eastAsia="Garamond" w:hAnsi="Garamond" w:cs="Garamond"/>
        </w:rPr>
      </w:pPr>
    </w:p>
    <w:p w:rsidR="00A22F56" w:rsidRDefault="00506037">
      <w:pPr>
        <w:ind w:left="0" w:hanging="2"/>
        <w:jc w:val="center"/>
        <w:rPr>
          <w:rFonts w:ascii="Garamond" w:eastAsia="Garamond" w:hAnsi="Garamond" w:cs="Garamond"/>
          <w:b/>
        </w:rPr>
      </w:pPr>
      <w:r>
        <w:rPr>
          <w:rFonts w:ascii="Garamond" w:eastAsia="Garamond" w:hAnsi="Garamond" w:cs="Garamond"/>
          <w:b/>
        </w:rPr>
        <w:t xml:space="preserve">Bid #8-5-5-21 </w:t>
      </w:r>
    </w:p>
    <w:p w:rsidR="00A22F56" w:rsidRDefault="00506037">
      <w:pPr>
        <w:ind w:left="0" w:hanging="2"/>
        <w:jc w:val="center"/>
        <w:rPr>
          <w:rFonts w:ascii="Garamond" w:eastAsia="Garamond" w:hAnsi="Garamond" w:cs="Garamond"/>
        </w:rPr>
      </w:pPr>
      <w:r>
        <w:rPr>
          <w:rFonts w:ascii="Garamond" w:eastAsia="Garamond" w:hAnsi="Garamond" w:cs="Garamond"/>
          <w:b/>
        </w:rPr>
        <w:t>Due:</w:t>
      </w:r>
    </w:p>
    <w:p w:rsidR="00A22F56" w:rsidRDefault="00506037">
      <w:pPr>
        <w:ind w:left="0" w:hanging="2"/>
        <w:jc w:val="center"/>
        <w:rPr>
          <w:rFonts w:ascii="Garamond" w:eastAsia="Garamond" w:hAnsi="Garamond" w:cs="Garamond"/>
        </w:rPr>
      </w:pPr>
      <w:r>
        <w:rPr>
          <w:rFonts w:ascii="Garamond" w:eastAsia="Garamond" w:hAnsi="Garamond" w:cs="Garamond"/>
          <w:b/>
        </w:rPr>
        <w:t xml:space="preserve">May 24, 2021 </w:t>
      </w:r>
    </w:p>
    <w:p w:rsidR="00A22F56" w:rsidRDefault="00506037">
      <w:pPr>
        <w:ind w:left="0" w:hanging="2"/>
        <w:jc w:val="center"/>
        <w:rPr>
          <w:rFonts w:ascii="Garamond" w:eastAsia="Garamond" w:hAnsi="Garamond" w:cs="Garamond"/>
        </w:rPr>
      </w:pPr>
      <w:r>
        <w:rPr>
          <w:rFonts w:ascii="Garamond" w:eastAsia="Garamond" w:hAnsi="Garamond" w:cs="Garamond"/>
          <w:b/>
        </w:rPr>
        <w:t>3:30 PM</w:t>
      </w:r>
    </w:p>
    <w:p w:rsidR="00A22F56" w:rsidRDefault="00A22F56">
      <w:pPr>
        <w:ind w:left="0" w:hanging="2"/>
        <w:jc w:val="center"/>
        <w:rPr>
          <w:rFonts w:ascii="Garamond" w:eastAsia="Garamond" w:hAnsi="Garamond" w:cs="Garamond"/>
        </w:rPr>
      </w:pPr>
    </w:p>
    <w:p w:rsidR="00A22F56" w:rsidRDefault="00A22F56">
      <w:pPr>
        <w:ind w:left="0" w:hanging="2"/>
        <w:jc w:val="center"/>
        <w:rPr>
          <w:rFonts w:ascii="Garamond" w:eastAsia="Garamond" w:hAnsi="Garamond" w:cs="Garamond"/>
        </w:rPr>
      </w:pPr>
    </w:p>
    <w:p w:rsidR="00A22F56" w:rsidRDefault="00506037">
      <w:pPr>
        <w:ind w:left="0" w:hanging="2"/>
        <w:jc w:val="center"/>
        <w:rPr>
          <w:rFonts w:ascii="Garamond" w:eastAsia="Garamond" w:hAnsi="Garamond" w:cs="Garamond"/>
        </w:rPr>
      </w:pPr>
      <w:bookmarkStart w:id="1" w:name="_heading=h.gjdgxs" w:colFirst="0" w:colLast="0"/>
      <w:bookmarkEnd w:id="1"/>
      <w:r>
        <w:rPr>
          <w:rFonts w:ascii="Garamond" w:eastAsia="Garamond" w:hAnsi="Garamond" w:cs="Garamond"/>
          <w:b/>
        </w:rPr>
        <w:t>Superintendent of Schools</w:t>
      </w:r>
    </w:p>
    <w:p w:rsidR="00A22F56" w:rsidRDefault="00506037">
      <w:pPr>
        <w:ind w:left="0" w:hanging="2"/>
        <w:jc w:val="center"/>
        <w:rPr>
          <w:rFonts w:ascii="Garamond" w:eastAsia="Garamond" w:hAnsi="Garamond" w:cs="Garamond"/>
        </w:rPr>
      </w:pPr>
      <w:r>
        <w:rPr>
          <w:rFonts w:ascii="Garamond" w:eastAsia="Garamond" w:hAnsi="Garamond" w:cs="Garamond"/>
          <w:b/>
        </w:rPr>
        <w:t>Bristol Warren Regional School District</w:t>
      </w:r>
    </w:p>
    <w:p w:rsidR="00A22F56" w:rsidRDefault="00506037">
      <w:pPr>
        <w:ind w:left="0" w:hanging="2"/>
        <w:jc w:val="center"/>
        <w:rPr>
          <w:rFonts w:ascii="Garamond" w:eastAsia="Garamond" w:hAnsi="Garamond" w:cs="Garamond"/>
        </w:rPr>
      </w:pPr>
      <w:r>
        <w:rPr>
          <w:rFonts w:ascii="Garamond" w:eastAsia="Garamond" w:hAnsi="Garamond" w:cs="Garamond"/>
          <w:b/>
        </w:rPr>
        <w:t>151 State Street</w:t>
      </w:r>
    </w:p>
    <w:p w:rsidR="00A22F56" w:rsidRDefault="00506037">
      <w:pPr>
        <w:ind w:left="0" w:hanging="2"/>
        <w:jc w:val="center"/>
      </w:pPr>
      <w:r>
        <w:rPr>
          <w:rFonts w:ascii="Garamond" w:eastAsia="Garamond" w:hAnsi="Garamond" w:cs="Garamond"/>
          <w:b/>
        </w:rPr>
        <w:t>Bristol, RI  02809</w:t>
      </w:r>
    </w:p>
    <w:p w:rsidR="00A22F56" w:rsidRDefault="00A22F56">
      <w:pPr>
        <w:ind w:left="1" w:hanging="3"/>
        <w:jc w:val="center"/>
        <w:rPr>
          <w:sz w:val="32"/>
          <w:szCs w:val="32"/>
        </w:rPr>
      </w:pPr>
    </w:p>
    <w:p w:rsidR="00A22F56" w:rsidRDefault="00A22F56">
      <w:pPr>
        <w:ind w:left="1" w:hanging="3"/>
        <w:rPr>
          <w:sz w:val="32"/>
          <w:szCs w:val="32"/>
        </w:rPr>
      </w:pPr>
    </w:p>
    <w:p w:rsidR="00A22F56" w:rsidRDefault="00A22F56">
      <w:pPr>
        <w:ind w:left="1" w:hanging="3"/>
        <w:jc w:val="center"/>
        <w:rPr>
          <w:sz w:val="32"/>
          <w:szCs w:val="32"/>
        </w:rPr>
      </w:pPr>
    </w:p>
    <w:p w:rsidR="00A22F56" w:rsidRDefault="00A22F56">
      <w:pPr>
        <w:ind w:left="1" w:hanging="3"/>
        <w:jc w:val="center"/>
        <w:rPr>
          <w:sz w:val="32"/>
          <w:szCs w:val="32"/>
        </w:rPr>
      </w:pPr>
    </w:p>
    <w:p w:rsidR="00A22F56" w:rsidRDefault="00506037">
      <w:pPr>
        <w:ind w:left="1" w:hanging="3"/>
        <w:jc w:val="center"/>
        <w:rPr>
          <w:rFonts w:ascii="Garamond" w:eastAsia="Garamond" w:hAnsi="Garamond" w:cs="Garamond"/>
          <w:sz w:val="32"/>
          <w:szCs w:val="32"/>
        </w:rPr>
      </w:pPr>
      <w:r>
        <w:rPr>
          <w:rFonts w:ascii="Garamond" w:eastAsia="Garamond" w:hAnsi="Garamond" w:cs="Garamond"/>
          <w:b/>
          <w:sz w:val="32"/>
          <w:szCs w:val="32"/>
        </w:rPr>
        <w:t>BRISTOL WARREN REGIONAL SCHOOL DISTRICT</w:t>
      </w:r>
    </w:p>
    <w:p w:rsidR="00A22F56" w:rsidRDefault="00A22F56">
      <w:pPr>
        <w:ind w:left="1" w:hanging="3"/>
        <w:jc w:val="center"/>
        <w:rPr>
          <w:rFonts w:ascii="Garamond" w:eastAsia="Garamond" w:hAnsi="Garamond" w:cs="Garamond"/>
          <w:sz w:val="32"/>
          <w:szCs w:val="32"/>
        </w:rPr>
      </w:pPr>
    </w:p>
    <w:p w:rsidR="00A22F56" w:rsidRDefault="00506037">
      <w:pPr>
        <w:ind w:left="1" w:hanging="3"/>
        <w:jc w:val="center"/>
        <w:rPr>
          <w:rFonts w:ascii="Garamond" w:eastAsia="Garamond" w:hAnsi="Garamond" w:cs="Garamond"/>
          <w:sz w:val="32"/>
          <w:szCs w:val="32"/>
        </w:rPr>
      </w:pPr>
      <w:r>
        <w:rPr>
          <w:rFonts w:ascii="Garamond" w:eastAsia="Garamond" w:hAnsi="Garamond" w:cs="Garamond"/>
          <w:b/>
          <w:sz w:val="32"/>
          <w:szCs w:val="32"/>
        </w:rPr>
        <w:t>REQUEST FOR PROPOSALS</w:t>
      </w:r>
    </w:p>
    <w:p w:rsidR="00A22F56" w:rsidRDefault="00A22F56">
      <w:pPr>
        <w:ind w:left="1" w:hanging="3"/>
        <w:jc w:val="center"/>
        <w:rPr>
          <w:rFonts w:ascii="Garamond" w:eastAsia="Garamond" w:hAnsi="Garamond" w:cs="Garamond"/>
          <w:sz w:val="32"/>
          <w:szCs w:val="32"/>
        </w:rPr>
      </w:pPr>
    </w:p>
    <w:p w:rsidR="00A22F56" w:rsidRDefault="00A22F56">
      <w:pPr>
        <w:ind w:left="1" w:hanging="3"/>
        <w:jc w:val="center"/>
        <w:rPr>
          <w:rFonts w:ascii="Garamond" w:eastAsia="Garamond" w:hAnsi="Garamond" w:cs="Garamond"/>
          <w:sz w:val="32"/>
          <w:szCs w:val="32"/>
        </w:rPr>
      </w:pPr>
    </w:p>
    <w:p w:rsidR="00A22F56" w:rsidRDefault="00506037">
      <w:pPr>
        <w:ind w:left="1" w:hanging="3"/>
        <w:jc w:val="center"/>
        <w:rPr>
          <w:rFonts w:ascii="Garamond" w:eastAsia="Garamond" w:hAnsi="Garamond" w:cs="Garamond"/>
          <w:sz w:val="32"/>
          <w:szCs w:val="32"/>
        </w:rPr>
      </w:pPr>
      <w:r>
        <w:rPr>
          <w:rFonts w:ascii="Garamond" w:eastAsia="Garamond" w:hAnsi="Garamond" w:cs="Garamond"/>
          <w:b/>
          <w:sz w:val="32"/>
          <w:szCs w:val="32"/>
        </w:rPr>
        <w:t>2021 AUDIT AND UCOA AGREED-UPON PROCEDURES</w:t>
      </w:r>
    </w:p>
    <w:p w:rsidR="00A22F56" w:rsidRDefault="00A22F56">
      <w:pPr>
        <w:tabs>
          <w:tab w:val="left" w:pos="720"/>
        </w:tabs>
        <w:ind w:left="1" w:hanging="3"/>
        <w:rPr>
          <w:rFonts w:ascii="Garamond" w:eastAsia="Garamond" w:hAnsi="Garamond" w:cs="Garamond"/>
          <w:sz w:val="32"/>
          <w:szCs w:val="32"/>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I.   INTRODUCTION</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A.   General Information</w:t>
      </w:r>
    </w:p>
    <w:p w:rsidR="00A22F56" w:rsidRDefault="00A22F56">
      <w:pPr>
        <w:tabs>
          <w:tab w:val="left" w:pos="720"/>
        </w:tabs>
        <w:ind w:left="0" w:hanging="2"/>
        <w:rPr>
          <w:rFonts w:ascii="Garamond" w:eastAsia="Garamond" w:hAnsi="Garamond" w:cs="Garamond"/>
        </w:rPr>
      </w:pPr>
    </w:p>
    <w:p w:rsidR="00A22F56" w:rsidRDefault="00506037">
      <w:pPr>
        <w:numPr>
          <w:ilvl w:val="0"/>
          <w:numId w:val="2"/>
        </w:numPr>
        <w:ind w:left="0" w:hanging="2"/>
        <w:rPr>
          <w:rFonts w:ascii="Garamond" w:eastAsia="Garamond" w:hAnsi="Garamond" w:cs="Garamond"/>
        </w:rPr>
      </w:pPr>
      <w:r>
        <w:rPr>
          <w:rFonts w:ascii="Garamond" w:eastAsia="Garamond" w:hAnsi="Garamond" w:cs="Garamond"/>
        </w:rPr>
        <w:t>The Bristol Warr</w:t>
      </w:r>
      <w:r>
        <w:rPr>
          <w:rFonts w:ascii="Garamond" w:eastAsia="Garamond" w:hAnsi="Garamond" w:cs="Garamond"/>
        </w:rPr>
        <w:t>en Regional School District (BWRSD) is requesting proposals from qualified firms of certified public accountants to audit its financial statements for the fiscal year ending June 30, 2021 with the options of auditing its financial statements for each of th</w:t>
      </w:r>
      <w:r>
        <w:rPr>
          <w:rFonts w:ascii="Garamond" w:eastAsia="Garamond" w:hAnsi="Garamond" w:cs="Garamond"/>
        </w:rPr>
        <w:t>e two (2) subsequent fiscal years.  These audits are to be performed in accordance with generally accepted auditing standards established by the American Institute of Certified Public Accountants and the standards for financial audits set forth in Governme</w:t>
      </w:r>
      <w:r>
        <w:rPr>
          <w:rFonts w:ascii="Garamond" w:eastAsia="Garamond" w:hAnsi="Garamond" w:cs="Garamond"/>
        </w:rPr>
        <w:t xml:space="preserve">nt Auditing Standards issued by the Comptroller General of the United States.  </w:t>
      </w:r>
    </w:p>
    <w:p w:rsidR="00A22F56" w:rsidRDefault="00A22F56">
      <w:pPr>
        <w:ind w:left="0" w:hanging="2"/>
        <w:rPr>
          <w:rFonts w:ascii="Garamond" w:eastAsia="Garamond" w:hAnsi="Garamond" w:cs="Garamond"/>
        </w:rPr>
      </w:pPr>
    </w:p>
    <w:p w:rsidR="00A22F56" w:rsidRDefault="00506037">
      <w:pPr>
        <w:ind w:left="0" w:hanging="2"/>
        <w:jc w:val="both"/>
        <w:rPr>
          <w:rFonts w:ascii="Garamond" w:eastAsia="Garamond" w:hAnsi="Garamond" w:cs="Garamond"/>
        </w:rPr>
      </w:pPr>
      <w:r>
        <w:rPr>
          <w:rFonts w:ascii="Garamond" w:eastAsia="Garamond" w:hAnsi="Garamond" w:cs="Garamond"/>
        </w:rPr>
        <w:t>These audits are to be performed in accordance with the standards contained in the amended (July 1996) Single Audit Act of 1984, and the provisions of revised OMB Guidance 2 CFR part 200 - Uniform Administrative Requirements, Cost Principles, and Audit Req</w:t>
      </w:r>
      <w:r>
        <w:rPr>
          <w:rFonts w:ascii="Garamond" w:eastAsia="Garamond" w:hAnsi="Garamond" w:cs="Garamond"/>
        </w:rPr>
        <w:t>uirements for Federal Awards (OMB Uniform Guidance) - Subpart F – Audit Requirements.</w:t>
      </w:r>
    </w:p>
    <w:p w:rsidR="00A22F56" w:rsidRDefault="00A22F56">
      <w:pPr>
        <w:ind w:left="0" w:hanging="2"/>
        <w:jc w:val="both"/>
      </w:pPr>
    </w:p>
    <w:p w:rsidR="00A22F56" w:rsidRDefault="00506037">
      <w:pPr>
        <w:ind w:left="0" w:hanging="2"/>
        <w:rPr>
          <w:rFonts w:ascii="Garamond" w:eastAsia="Garamond" w:hAnsi="Garamond" w:cs="Garamond"/>
        </w:rPr>
      </w:pPr>
      <w:r>
        <w:rPr>
          <w:rFonts w:ascii="Garamond" w:eastAsia="Garamond" w:hAnsi="Garamond" w:cs="Garamond"/>
        </w:rPr>
        <w:t>The minimum requirements of the Auditor General’s department of the State of Rhode Island and the Department of Education of the State of Rhode Island should also be fol</w:t>
      </w:r>
      <w:r>
        <w:rPr>
          <w:rFonts w:ascii="Garamond" w:eastAsia="Garamond" w:hAnsi="Garamond" w:cs="Garamond"/>
        </w:rPr>
        <w:t>lowed</w:t>
      </w:r>
    </w:p>
    <w:p w:rsidR="00A22F56" w:rsidRDefault="00A22F56">
      <w:pPr>
        <w:tabs>
          <w:tab w:val="left" w:pos="720"/>
        </w:tabs>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xml:space="preserve">There is no expressed or implied obligation for the BWRSD to reimburse responding firms for any expense incurred in preparing proposals in response to this request.  </w:t>
      </w:r>
    </w:p>
    <w:p w:rsidR="00A22F56" w:rsidRDefault="00A22F56">
      <w:pPr>
        <w:tabs>
          <w:tab w:val="left" w:pos="720"/>
        </w:tabs>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xml:space="preserve">To be considered, three copies of a proposal must be received by Jonathan Brice, Superintendent of Schools, at 151 State Street, Bristol, RI  02809 by </w:t>
      </w:r>
      <w:r>
        <w:rPr>
          <w:rFonts w:ascii="Garamond" w:eastAsia="Garamond" w:hAnsi="Garamond" w:cs="Garamond"/>
          <w:b/>
        </w:rPr>
        <w:t>3:30 PM on May 24, 2021</w:t>
      </w:r>
      <w:r>
        <w:rPr>
          <w:rFonts w:ascii="Garamond" w:eastAsia="Garamond" w:hAnsi="Garamond" w:cs="Garamond"/>
        </w:rPr>
        <w:t>.  The BWRSD reserves the right to reject any or all proposals submitted.</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xml:space="preserve">Sealed </w:t>
      </w:r>
      <w:r>
        <w:rPr>
          <w:rFonts w:ascii="Garamond" w:eastAsia="Garamond" w:hAnsi="Garamond" w:cs="Garamond"/>
        </w:rPr>
        <w:t xml:space="preserve">proposals shall be delivered directly by interested firms to the BWRSD and shall be opened virtually on </w:t>
      </w:r>
      <w:r>
        <w:rPr>
          <w:rFonts w:ascii="Garamond" w:eastAsia="Garamond" w:hAnsi="Garamond" w:cs="Garamond"/>
          <w:b/>
        </w:rPr>
        <w:t>May 24, 2021, at 3:30 PM</w:t>
      </w:r>
      <w:r>
        <w:rPr>
          <w:rFonts w:ascii="Garamond" w:eastAsia="Garamond" w:hAnsi="Garamond" w:cs="Garamond"/>
        </w:rPr>
        <w:t xml:space="preserve"> in the presence of representatives of the bidders and the BWRSD.</w:t>
      </w:r>
    </w:p>
    <w:p w:rsidR="00A22F56" w:rsidRDefault="00A22F56">
      <w:pPr>
        <w:tabs>
          <w:tab w:val="left" w:pos="720"/>
        </w:tabs>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During the evaluation process, the District reserves the righ</w:t>
      </w:r>
      <w:r>
        <w:rPr>
          <w:rFonts w:ascii="Garamond" w:eastAsia="Garamond" w:hAnsi="Garamond" w:cs="Garamond"/>
        </w:rPr>
        <w:t>t, where it may serve the District’s best interest, to request additional information or classifications from proposers, or to allow corrections of minor errors or omissions.  At the discretion of the BWRSD, firms submitting proposals may be requested to m</w:t>
      </w:r>
      <w:r>
        <w:rPr>
          <w:rFonts w:ascii="Garamond" w:eastAsia="Garamond" w:hAnsi="Garamond" w:cs="Garamond"/>
        </w:rPr>
        <w:t>ake oral presentations as part of the evaluation process.</w:t>
      </w:r>
    </w:p>
    <w:p w:rsidR="00A22F56" w:rsidRDefault="00A22F56">
      <w:pPr>
        <w:tabs>
          <w:tab w:val="left" w:pos="720"/>
        </w:tabs>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xml:space="preserve">The BWRSD reserves the right to retain all proposals submitted and to use any ideas in a proposal regardless of whether that proposal is selected.  Submission of a proposal indicates acceptance by </w:t>
      </w:r>
      <w:r>
        <w:rPr>
          <w:rFonts w:ascii="Garamond" w:eastAsia="Garamond" w:hAnsi="Garamond" w:cs="Garamond"/>
        </w:rPr>
        <w:t xml:space="preserve">the firm of the conditions </w:t>
      </w:r>
      <w:r>
        <w:rPr>
          <w:rFonts w:ascii="Garamond" w:eastAsia="Garamond" w:hAnsi="Garamond" w:cs="Garamond"/>
        </w:rPr>
        <w:lastRenderedPageBreak/>
        <w:t>contained in this request for proposals, unless clearly and specifically noted in the proposal submitted and confirmed in the contract between the BWRSD and the firm selected.</w:t>
      </w:r>
    </w:p>
    <w:p w:rsidR="00A22F56" w:rsidRDefault="00A22F56">
      <w:pPr>
        <w:tabs>
          <w:tab w:val="left" w:pos="720"/>
        </w:tabs>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xml:space="preserve">It is anticipated that the selection of a firm will </w:t>
      </w:r>
      <w:r>
        <w:rPr>
          <w:rFonts w:ascii="Garamond" w:eastAsia="Garamond" w:hAnsi="Garamond" w:cs="Garamond"/>
        </w:rPr>
        <w:t xml:space="preserve">be completed by </w:t>
      </w:r>
      <w:r>
        <w:rPr>
          <w:rFonts w:ascii="Garamond" w:eastAsia="Garamond" w:hAnsi="Garamond" w:cs="Garamond"/>
          <w:b/>
        </w:rPr>
        <w:t xml:space="preserve">June 1, 2021. </w:t>
      </w:r>
      <w:r>
        <w:rPr>
          <w:rFonts w:ascii="Garamond" w:eastAsia="Garamond" w:hAnsi="Garamond" w:cs="Garamond"/>
        </w:rPr>
        <w:t xml:space="preserve"> Following the notification of the selected firm, it is expected that a contract will be executed between both parties by </w:t>
      </w:r>
      <w:r>
        <w:rPr>
          <w:rFonts w:ascii="Garamond" w:eastAsia="Garamond" w:hAnsi="Garamond" w:cs="Garamond"/>
          <w:b/>
        </w:rPr>
        <w:t>June 7, 2021</w:t>
      </w:r>
      <w:r>
        <w:rPr>
          <w:rFonts w:ascii="Garamond" w:eastAsia="Garamond" w:hAnsi="Garamond" w:cs="Garamond"/>
        </w:rPr>
        <w:t>.</w:t>
      </w:r>
    </w:p>
    <w:p w:rsidR="00A22F56" w:rsidRDefault="00A22F56">
      <w:pPr>
        <w:pBdr>
          <w:top w:val="nil"/>
          <w:left w:val="nil"/>
          <w:bottom w:val="nil"/>
          <w:right w:val="nil"/>
          <w:between w:val="nil"/>
        </w:pBdr>
        <w:spacing w:line="240" w:lineRule="auto"/>
        <w:ind w:left="0" w:hanging="2"/>
        <w:rPr>
          <w:rFonts w:ascii="Garamond" w:eastAsia="Garamond" w:hAnsi="Garamond" w:cs="Garamond"/>
          <w:color w:val="000000"/>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B.  Terms of Engagement</w:t>
      </w:r>
    </w:p>
    <w:p w:rsidR="00A22F56" w:rsidRDefault="00A22F56">
      <w:pPr>
        <w:tabs>
          <w:tab w:val="left" w:pos="720"/>
        </w:tabs>
        <w:ind w:left="0" w:hanging="2"/>
        <w:rPr>
          <w:rFonts w:ascii="Garamond" w:eastAsia="Garamond" w:hAnsi="Garamond" w:cs="Garamond"/>
        </w:rPr>
      </w:pPr>
    </w:p>
    <w:p w:rsidR="00A22F56" w:rsidRDefault="00506037">
      <w:pPr>
        <w:numPr>
          <w:ilvl w:val="0"/>
          <w:numId w:val="29"/>
        </w:numPr>
        <w:ind w:left="0" w:hanging="2"/>
        <w:rPr>
          <w:rFonts w:ascii="Garamond" w:eastAsia="Garamond" w:hAnsi="Garamond" w:cs="Garamond"/>
        </w:rPr>
      </w:pPr>
      <w:r>
        <w:rPr>
          <w:rFonts w:ascii="Garamond" w:eastAsia="Garamond" w:hAnsi="Garamond" w:cs="Garamond"/>
        </w:rPr>
        <w:t>A three year contract is contemplated, subject to the annual review and recommendation of the Superintendent of Schools and/or the Chief Finance Officer with the concurrence of the Bristol Warren Regional School Committee.</w:t>
      </w:r>
    </w:p>
    <w:p w:rsidR="00A22F56" w:rsidRDefault="00A22F56">
      <w:pPr>
        <w:tabs>
          <w:tab w:val="left" w:pos="720"/>
        </w:tabs>
        <w:ind w:left="0" w:hanging="2"/>
        <w:rPr>
          <w:rFonts w:ascii="Garamond" w:eastAsia="Garamond" w:hAnsi="Garamond" w:cs="Garamond"/>
        </w:rPr>
      </w:pPr>
    </w:p>
    <w:p w:rsidR="00A22F56" w:rsidRDefault="00506037">
      <w:pPr>
        <w:numPr>
          <w:ilvl w:val="0"/>
          <w:numId w:val="29"/>
        </w:numPr>
        <w:ind w:left="0" w:hanging="2"/>
        <w:rPr>
          <w:rFonts w:ascii="Garamond" w:eastAsia="Garamond" w:hAnsi="Garamond" w:cs="Garamond"/>
        </w:rPr>
      </w:pPr>
      <w:r>
        <w:rPr>
          <w:rFonts w:ascii="Garamond" w:eastAsia="Garamond" w:hAnsi="Garamond" w:cs="Garamond"/>
        </w:rPr>
        <w:t>Any representations made with th</w:t>
      </w:r>
      <w:r>
        <w:rPr>
          <w:rFonts w:ascii="Garamond" w:eastAsia="Garamond" w:hAnsi="Garamond" w:cs="Garamond"/>
        </w:rPr>
        <w:t>e submission will be relied upon and if proven to be false will be grounds for termination of the contract, if awarded.  False representations will also be grounds for forfeiture of all payments under the contract.  This will not limit the District from se</w:t>
      </w:r>
      <w:r>
        <w:rPr>
          <w:rFonts w:ascii="Garamond" w:eastAsia="Garamond" w:hAnsi="Garamond" w:cs="Garamond"/>
        </w:rPr>
        <w:t>eking any other legal or equitable remedies.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II.    NATURE OF SERVICES REQUIRED</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A.  General</w:t>
      </w:r>
    </w:p>
    <w:p w:rsidR="00A22F56" w:rsidRDefault="00A22F56">
      <w:pPr>
        <w:tabs>
          <w:tab w:val="left" w:pos="720"/>
        </w:tabs>
        <w:ind w:left="0" w:hanging="2"/>
        <w:rPr>
          <w:rFonts w:ascii="Garamond" w:eastAsia="Garamond" w:hAnsi="Garamond" w:cs="Garamond"/>
        </w:rPr>
      </w:pPr>
    </w:p>
    <w:p w:rsidR="00A22F56" w:rsidRDefault="00506037">
      <w:pPr>
        <w:numPr>
          <w:ilvl w:val="0"/>
          <w:numId w:val="30"/>
        </w:numPr>
        <w:ind w:left="0" w:hanging="2"/>
        <w:rPr>
          <w:rFonts w:ascii="Garamond" w:eastAsia="Garamond" w:hAnsi="Garamond" w:cs="Garamond"/>
        </w:rPr>
      </w:pPr>
      <w:r>
        <w:rPr>
          <w:rFonts w:ascii="Garamond" w:eastAsia="Garamond" w:hAnsi="Garamond" w:cs="Garamond"/>
        </w:rPr>
        <w:t xml:space="preserve">The BWRSD is soliciting the services of qualified firms of certified public accountants to audit its’ financial statements for the fiscal year ending June </w:t>
      </w:r>
      <w:r>
        <w:rPr>
          <w:rFonts w:ascii="Garamond" w:eastAsia="Garamond" w:hAnsi="Garamond" w:cs="Garamond"/>
        </w:rPr>
        <w:t>30, 2021, with the option to audit the District’s financial statements for each of the two subsequent fiscal years. Continuation beyond the initial fiscal year of the three-year contract will be at the discretion of the District.  These audits are to be pe</w:t>
      </w:r>
      <w:r>
        <w:rPr>
          <w:rFonts w:ascii="Garamond" w:eastAsia="Garamond" w:hAnsi="Garamond" w:cs="Garamond"/>
        </w:rPr>
        <w:t>rformed in accordance with the provisions contained in this request for proposals.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B.  Scope of Work to be Performed</w:t>
      </w:r>
    </w:p>
    <w:p w:rsidR="00A22F56" w:rsidRDefault="00A22F56">
      <w:pPr>
        <w:tabs>
          <w:tab w:val="left" w:pos="720"/>
        </w:tabs>
        <w:ind w:left="0" w:hanging="2"/>
        <w:rPr>
          <w:rFonts w:ascii="Garamond" w:eastAsia="Garamond" w:hAnsi="Garamond" w:cs="Garamond"/>
        </w:rPr>
      </w:pPr>
    </w:p>
    <w:p w:rsidR="00A22F56" w:rsidRDefault="00506037">
      <w:pPr>
        <w:numPr>
          <w:ilvl w:val="0"/>
          <w:numId w:val="19"/>
        </w:numPr>
        <w:ind w:left="0" w:hanging="2"/>
        <w:rPr>
          <w:rFonts w:ascii="Garamond" w:eastAsia="Garamond" w:hAnsi="Garamond" w:cs="Garamond"/>
        </w:rPr>
      </w:pPr>
      <w:r>
        <w:rPr>
          <w:rFonts w:ascii="Garamond" w:eastAsia="Garamond" w:hAnsi="Garamond" w:cs="Garamond"/>
        </w:rPr>
        <w:t>The BWRSD desires the auditor to express an opinion on the fair presentation of its’ basic financial statements, which will include t</w:t>
      </w:r>
      <w:r>
        <w:rPr>
          <w:rFonts w:ascii="Garamond" w:eastAsia="Garamond" w:hAnsi="Garamond" w:cs="Garamond"/>
        </w:rPr>
        <w:t>he government-wide financial statements, fund financial statements, and notes to the financial statements in conformity with generally accepted accounting principles.</w:t>
      </w:r>
    </w:p>
    <w:p w:rsidR="00A22F56" w:rsidRDefault="00A22F56">
      <w:pPr>
        <w:tabs>
          <w:tab w:val="left" w:pos="720"/>
        </w:tabs>
        <w:ind w:left="0" w:hanging="2"/>
        <w:rPr>
          <w:rFonts w:ascii="Garamond" w:eastAsia="Garamond" w:hAnsi="Garamond" w:cs="Garamond"/>
        </w:rPr>
      </w:pPr>
    </w:p>
    <w:p w:rsidR="00A22F56" w:rsidRDefault="00506037">
      <w:pPr>
        <w:numPr>
          <w:ilvl w:val="0"/>
          <w:numId w:val="19"/>
        </w:numPr>
        <w:tabs>
          <w:tab w:val="left" w:pos="720"/>
        </w:tabs>
        <w:ind w:left="0" w:hanging="2"/>
        <w:rPr>
          <w:rFonts w:ascii="Garamond" w:eastAsia="Garamond" w:hAnsi="Garamond" w:cs="Garamond"/>
        </w:rPr>
      </w:pPr>
      <w:r>
        <w:rPr>
          <w:rFonts w:ascii="Garamond" w:eastAsia="Garamond" w:hAnsi="Garamond" w:cs="Garamond"/>
        </w:rPr>
        <w:t>The auditor shall also be responsible for performing certain limited procedures involvin</w:t>
      </w:r>
      <w:r>
        <w:rPr>
          <w:rFonts w:ascii="Garamond" w:eastAsia="Garamond" w:hAnsi="Garamond" w:cs="Garamond"/>
        </w:rPr>
        <w:t>g required supplementary information required by the Governmental Accounting Standards Board as mandated by generally accepted auditing standards.</w:t>
      </w:r>
    </w:p>
    <w:p w:rsidR="00A22F56" w:rsidRDefault="00A22F56">
      <w:pPr>
        <w:pBdr>
          <w:top w:val="nil"/>
          <w:left w:val="nil"/>
          <w:bottom w:val="nil"/>
          <w:right w:val="nil"/>
          <w:between w:val="nil"/>
        </w:pBdr>
        <w:spacing w:line="240" w:lineRule="auto"/>
        <w:ind w:left="0" w:hanging="2"/>
        <w:rPr>
          <w:rFonts w:ascii="Garamond" w:eastAsia="Garamond" w:hAnsi="Garamond" w:cs="Garamond"/>
          <w:color w:val="000000"/>
        </w:rPr>
      </w:pPr>
    </w:p>
    <w:p w:rsidR="00A22F56" w:rsidRDefault="00506037">
      <w:pPr>
        <w:ind w:left="0" w:hanging="2"/>
        <w:jc w:val="both"/>
        <w:rPr>
          <w:rFonts w:ascii="Garamond" w:eastAsia="Garamond" w:hAnsi="Garamond" w:cs="Garamond"/>
        </w:rPr>
      </w:pPr>
      <w:r>
        <w:rPr>
          <w:rFonts w:ascii="Garamond" w:eastAsia="Garamond" w:hAnsi="Garamond" w:cs="Garamond"/>
        </w:rPr>
        <w:t>Required Supplementary Information shall include:</w:t>
      </w:r>
    </w:p>
    <w:p w:rsidR="00A22F56" w:rsidRDefault="00A22F56">
      <w:pPr>
        <w:ind w:left="0" w:hanging="2"/>
        <w:jc w:val="both"/>
        <w:rPr>
          <w:rFonts w:ascii="Garamond" w:eastAsia="Garamond" w:hAnsi="Garamond" w:cs="Garamond"/>
        </w:rPr>
      </w:pPr>
    </w:p>
    <w:p w:rsidR="00A22F56" w:rsidRDefault="00506037">
      <w:pPr>
        <w:numPr>
          <w:ilvl w:val="0"/>
          <w:numId w:val="1"/>
        </w:num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t>Management’s Discussion and Analysis</w:t>
      </w:r>
    </w:p>
    <w:p w:rsidR="00A22F56" w:rsidRDefault="00506037">
      <w:pPr>
        <w:numPr>
          <w:ilvl w:val="0"/>
          <w:numId w:val="1"/>
        </w:num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t>Schedule of Revenues, Expenditures and Changes in Fund Balance - Budget and Actual</w:t>
      </w:r>
    </w:p>
    <w:p w:rsidR="00A22F56" w:rsidRDefault="00506037">
      <w:pPr>
        <w:numPr>
          <w:ilvl w:val="0"/>
          <w:numId w:val="1"/>
        </w:num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t>Schedules related to defined benefit pension plans and OPEB plans, if applicable</w:t>
      </w:r>
    </w:p>
    <w:p w:rsidR="00A22F56" w:rsidRDefault="00A22F56">
      <w:pPr>
        <w:ind w:left="0" w:hanging="2"/>
        <w:rPr>
          <w:rFonts w:ascii="Garamond" w:eastAsia="Garamond" w:hAnsi="Garamond" w:cs="Garamond"/>
        </w:rPr>
      </w:pPr>
    </w:p>
    <w:p w:rsidR="00A22F56" w:rsidRDefault="00506037">
      <w:pPr>
        <w:numPr>
          <w:ilvl w:val="0"/>
          <w:numId w:val="19"/>
        </w:numPr>
        <w:ind w:left="0" w:hanging="2"/>
        <w:rPr>
          <w:rFonts w:ascii="Garamond" w:eastAsia="Garamond" w:hAnsi="Garamond" w:cs="Garamond"/>
        </w:rPr>
      </w:pPr>
      <w:r>
        <w:rPr>
          <w:rFonts w:ascii="Garamond" w:eastAsia="Garamond" w:hAnsi="Garamond" w:cs="Garamond"/>
        </w:rPr>
        <w:t>The auditor is to provide an “in-relation-to” report on the supplementary financial stateme</w:t>
      </w:r>
      <w:r>
        <w:rPr>
          <w:rFonts w:ascii="Garamond" w:eastAsia="Garamond" w:hAnsi="Garamond" w:cs="Garamond"/>
        </w:rPr>
        <w:t>nts and schedules based on the auditing procedures applied during the audit of the basic financial statements.</w:t>
      </w:r>
    </w:p>
    <w:p w:rsidR="00A22F56" w:rsidRDefault="00A22F56">
      <w:pPr>
        <w:ind w:left="0" w:hanging="2"/>
        <w:rPr>
          <w:rFonts w:ascii="Garamond" w:eastAsia="Garamond" w:hAnsi="Garamond" w:cs="Garamond"/>
        </w:rPr>
      </w:pPr>
    </w:p>
    <w:p w:rsidR="00A22F56" w:rsidRDefault="00506037">
      <w:pPr>
        <w:ind w:left="0" w:hanging="2"/>
        <w:jc w:val="both"/>
        <w:rPr>
          <w:rFonts w:ascii="Garamond" w:eastAsia="Garamond" w:hAnsi="Garamond" w:cs="Garamond"/>
        </w:rPr>
      </w:pPr>
      <w:r>
        <w:rPr>
          <w:rFonts w:ascii="Garamond" w:eastAsia="Garamond" w:hAnsi="Garamond" w:cs="Garamond"/>
        </w:rPr>
        <w:t xml:space="preserve">Supplementary financial statements, schedules and information shall include: </w:t>
      </w:r>
    </w:p>
    <w:p w:rsidR="00A22F56" w:rsidRDefault="00A22F56">
      <w:pPr>
        <w:ind w:left="0" w:hanging="2"/>
        <w:jc w:val="both"/>
      </w:pPr>
      <w:bookmarkStart w:id="2" w:name="_heading=h.30j0zll" w:colFirst="0" w:colLast="0"/>
      <w:bookmarkEnd w:id="2"/>
    </w:p>
    <w:p w:rsidR="00A22F56" w:rsidRDefault="00506037">
      <w:pPr>
        <w:numPr>
          <w:ilvl w:val="0"/>
          <w:numId w:val="1"/>
        </w:num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t>Combining fund financial statements shall be presented as supplementary information for all non-major governmental funds.  Each non-major fund (included within the Special Revenue Funds, Capital Projects Funds, Debt Service Funds, and Permanent Funds) shal</w:t>
      </w:r>
      <w:r>
        <w:rPr>
          <w:rFonts w:ascii="Garamond" w:eastAsia="Garamond" w:hAnsi="Garamond" w:cs="Garamond"/>
          <w:color w:val="000000"/>
        </w:rPr>
        <w:t xml:space="preserve">l be presented as separate columns in the combining fund financial </w:t>
      </w:r>
      <w:r>
        <w:rPr>
          <w:rFonts w:ascii="Garamond" w:eastAsia="Garamond" w:hAnsi="Garamond" w:cs="Garamond"/>
          <w:color w:val="000000"/>
        </w:rPr>
        <w:lastRenderedPageBreak/>
        <w:t>statements.  Similarly, combining financial statements shall also be presented for each of the other fund types when there is more than one internal service fund, enterprise fund, and fiduc</w:t>
      </w:r>
      <w:r>
        <w:rPr>
          <w:rFonts w:ascii="Garamond" w:eastAsia="Garamond" w:hAnsi="Garamond" w:cs="Garamond"/>
          <w:color w:val="000000"/>
        </w:rPr>
        <w:t>iary fund.</w:t>
      </w:r>
    </w:p>
    <w:p w:rsidR="00A22F56" w:rsidRDefault="00A22F56">
      <w:pPr>
        <w:pBdr>
          <w:top w:val="nil"/>
          <w:left w:val="nil"/>
          <w:bottom w:val="nil"/>
          <w:right w:val="nil"/>
          <w:between w:val="nil"/>
        </w:pBdr>
        <w:spacing w:line="240" w:lineRule="auto"/>
        <w:ind w:left="0" w:hanging="2"/>
        <w:jc w:val="both"/>
        <w:rPr>
          <w:rFonts w:ascii="Garamond" w:eastAsia="Garamond" w:hAnsi="Garamond" w:cs="Garamond"/>
          <w:color w:val="000000"/>
        </w:rPr>
      </w:pPr>
    </w:p>
    <w:p w:rsidR="00A22F56" w:rsidRDefault="00506037">
      <w:pPr>
        <w:numPr>
          <w:ilvl w:val="0"/>
          <w:numId w:val="1"/>
        </w:num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t>Combining financial statements shall be presented for the General Fund when separate funds are maintained within the accounting system but the funds do not qualify as special revenue funds, in accordance with generally accepted accounting princ</w:t>
      </w:r>
      <w:r>
        <w:rPr>
          <w:rFonts w:ascii="Garamond" w:eastAsia="Garamond" w:hAnsi="Garamond" w:cs="Garamond"/>
          <w:color w:val="000000"/>
        </w:rPr>
        <w:t xml:space="preserve">iples, and are merged with the General Fund for financial reporting purposes. </w:t>
      </w:r>
    </w:p>
    <w:p w:rsidR="00A22F56" w:rsidRDefault="00A22F56">
      <w:pPr>
        <w:pBdr>
          <w:top w:val="nil"/>
          <w:left w:val="nil"/>
          <w:bottom w:val="nil"/>
          <w:right w:val="nil"/>
          <w:between w:val="nil"/>
        </w:pBdr>
        <w:spacing w:line="240" w:lineRule="auto"/>
        <w:ind w:left="0" w:hanging="2"/>
        <w:rPr>
          <w:rFonts w:ascii="Garamond" w:eastAsia="Garamond" w:hAnsi="Garamond" w:cs="Garamond"/>
          <w:color w:val="000000"/>
        </w:rPr>
      </w:pPr>
    </w:p>
    <w:p w:rsidR="00A22F56" w:rsidRDefault="00506037">
      <w:pPr>
        <w:numPr>
          <w:ilvl w:val="0"/>
          <w:numId w:val="19"/>
        </w:numPr>
        <w:ind w:left="0" w:hanging="2"/>
        <w:rPr>
          <w:rFonts w:ascii="Garamond" w:eastAsia="Garamond" w:hAnsi="Garamond" w:cs="Garamond"/>
        </w:rPr>
      </w:pPr>
      <w:r>
        <w:rPr>
          <w:rFonts w:ascii="Garamond" w:eastAsia="Garamond" w:hAnsi="Garamond" w:cs="Garamond"/>
        </w:rPr>
        <w:t xml:space="preserve">If applicable, an audit of major programs in accordance with criteria outlined in OMB Guidance 2 CFR part 200 - Uniform Administrative Requirements, Cost Principles, and Audit </w:t>
      </w:r>
      <w:r>
        <w:rPr>
          <w:rFonts w:ascii="Garamond" w:eastAsia="Garamond" w:hAnsi="Garamond" w:cs="Garamond"/>
        </w:rPr>
        <w:t>Requirements for Federal Awards (OMB Uniform Guidance) - Subpart F – Audit Requirements.</w:t>
      </w:r>
    </w:p>
    <w:p w:rsidR="00A22F56" w:rsidRDefault="00A22F56">
      <w:pPr>
        <w:tabs>
          <w:tab w:val="left" w:pos="720"/>
        </w:tabs>
        <w:ind w:left="0" w:hanging="2"/>
        <w:rPr>
          <w:rFonts w:ascii="Garamond" w:eastAsia="Garamond" w:hAnsi="Garamond" w:cs="Garamond"/>
        </w:rPr>
      </w:pPr>
    </w:p>
    <w:p w:rsidR="00A22F56" w:rsidRDefault="00506037">
      <w:pPr>
        <w:numPr>
          <w:ilvl w:val="0"/>
          <w:numId w:val="56"/>
        </w:numPr>
        <w:pBdr>
          <w:top w:val="nil"/>
          <w:left w:val="nil"/>
          <w:bottom w:val="nil"/>
          <w:right w:val="nil"/>
          <w:between w:val="nil"/>
        </w:pBdr>
        <w:tabs>
          <w:tab w:val="left" w:pos="720"/>
        </w:tabs>
        <w:spacing w:line="240" w:lineRule="auto"/>
        <w:ind w:left="0" w:hanging="2"/>
        <w:rPr>
          <w:rFonts w:ascii="Garamond" w:eastAsia="Garamond" w:hAnsi="Garamond" w:cs="Garamond"/>
          <w:color w:val="000000"/>
        </w:rPr>
      </w:pPr>
      <w:r>
        <w:rPr>
          <w:rFonts w:ascii="Garamond" w:eastAsia="Garamond" w:hAnsi="Garamond" w:cs="Garamond"/>
          <w:color w:val="000000"/>
        </w:rPr>
        <w:t>The auditors shall audit major programs as required by OMB Guidance 2 CFR part 200 - Uniform Administrative Requirements, Cost Principles, and Audit Requirements for Federal Awards (OMB Uniform Guidance) - Subpart F – Audit Requirements and express an opin</w:t>
      </w:r>
      <w:r>
        <w:rPr>
          <w:rFonts w:ascii="Garamond" w:eastAsia="Garamond" w:hAnsi="Garamond" w:cs="Garamond"/>
          <w:color w:val="000000"/>
        </w:rPr>
        <w:t xml:space="preserve">ion on compliance for each major program.  </w:t>
      </w:r>
    </w:p>
    <w:p w:rsidR="00A22F56" w:rsidRDefault="00A22F56">
      <w:pPr>
        <w:pBdr>
          <w:top w:val="nil"/>
          <w:left w:val="nil"/>
          <w:bottom w:val="nil"/>
          <w:right w:val="nil"/>
          <w:between w:val="nil"/>
        </w:pBdr>
        <w:tabs>
          <w:tab w:val="left" w:pos="720"/>
        </w:tabs>
        <w:spacing w:line="240" w:lineRule="auto"/>
        <w:ind w:left="0" w:hanging="2"/>
        <w:rPr>
          <w:rFonts w:ascii="Garamond" w:eastAsia="Garamond" w:hAnsi="Garamond" w:cs="Garamond"/>
          <w:color w:val="000000"/>
        </w:rPr>
      </w:pPr>
    </w:p>
    <w:p w:rsidR="00A22F56" w:rsidRDefault="00506037">
      <w:pPr>
        <w:numPr>
          <w:ilvl w:val="0"/>
          <w:numId w:val="56"/>
        </w:numPr>
        <w:pBdr>
          <w:top w:val="nil"/>
          <w:left w:val="nil"/>
          <w:bottom w:val="nil"/>
          <w:right w:val="nil"/>
          <w:between w:val="nil"/>
        </w:pBdr>
        <w:tabs>
          <w:tab w:val="left" w:pos="720"/>
        </w:tabs>
        <w:spacing w:line="240" w:lineRule="auto"/>
        <w:ind w:left="0" w:hanging="2"/>
        <w:rPr>
          <w:rFonts w:ascii="Garamond" w:eastAsia="Garamond" w:hAnsi="Garamond" w:cs="Garamond"/>
          <w:color w:val="000000"/>
        </w:rPr>
      </w:pPr>
      <w:r>
        <w:rPr>
          <w:rFonts w:ascii="Garamond" w:eastAsia="Garamond" w:hAnsi="Garamond" w:cs="Garamond"/>
          <w:color w:val="000000"/>
        </w:rPr>
        <w:t>Major programs shall be determined in accordance with guidance provided in OMB Guidance 2 CFR part 200 - Uniform Administrative Requirements, Cost Principles, and Audit Requirements for Federal Awards (OMB Uniform Guidance) - Subpart F – Audit Requirements</w:t>
      </w:r>
      <w:r>
        <w:rPr>
          <w:rFonts w:ascii="Garamond" w:eastAsia="Garamond" w:hAnsi="Garamond" w:cs="Garamond"/>
          <w:color w:val="000000"/>
        </w:rPr>
        <w:t xml:space="preserve">.  </w:t>
      </w:r>
    </w:p>
    <w:p w:rsidR="00A22F56" w:rsidRDefault="00A22F56">
      <w:pPr>
        <w:pBdr>
          <w:top w:val="nil"/>
          <w:left w:val="nil"/>
          <w:bottom w:val="nil"/>
          <w:right w:val="nil"/>
          <w:between w:val="nil"/>
        </w:pBdr>
        <w:spacing w:line="240" w:lineRule="auto"/>
        <w:ind w:left="0" w:hanging="2"/>
        <w:rPr>
          <w:rFonts w:ascii="Garamond" w:eastAsia="Garamond" w:hAnsi="Garamond" w:cs="Garamond"/>
          <w:color w:val="000000"/>
        </w:rPr>
      </w:pPr>
    </w:p>
    <w:p w:rsidR="00A22F56" w:rsidRDefault="00506037">
      <w:pPr>
        <w:numPr>
          <w:ilvl w:val="0"/>
          <w:numId w:val="56"/>
        </w:numPr>
        <w:pBdr>
          <w:top w:val="nil"/>
          <w:left w:val="nil"/>
          <w:bottom w:val="nil"/>
          <w:right w:val="nil"/>
          <w:between w:val="nil"/>
        </w:pBdr>
        <w:tabs>
          <w:tab w:val="left" w:pos="720"/>
        </w:tabs>
        <w:spacing w:line="240" w:lineRule="auto"/>
        <w:ind w:left="0" w:hanging="2"/>
        <w:rPr>
          <w:rFonts w:ascii="Garamond" w:eastAsia="Garamond" w:hAnsi="Garamond" w:cs="Garamond"/>
          <w:color w:val="000000"/>
        </w:rPr>
      </w:pPr>
      <w:bookmarkStart w:id="3" w:name="_heading=h.2et92p0" w:colFirst="0" w:colLast="0"/>
      <w:bookmarkEnd w:id="3"/>
      <w:r>
        <w:rPr>
          <w:rFonts w:ascii="Garamond" w:eastAsia="Garamond" w:hAnsi="Garamond" w:cs="Garamond"/>
          <w:color w:val="000000"/>
        </w:rPr>
        <w:t>The auditor is not required to audit the supplementary schedule of expenditures of federal awards. However, the auditor is to provide an "in-relation-to" report on that schedule based on the auditing procedures applied during the audit of the financia</w:t>
      </w:r>
      <w:r>
        <w:rPr>
          <w:rFonts w:ascii="Garamond" w:eastAsia="Garamond" w:hAnsi="Garamond" w:cs="Garamond"/>
          <w:color w:val="000000"/>
        </w:rPr>
        <w:t>l statements.</w:t>
      </w:r>
    </w:p>
    <w:p w:rsidR="00A22F56" w:rsidRDefault="00A22F56">
      <w:pPr>
        <w:pBdr>
          <w:top w:val="nil"/>
          <w:left w:val="nil"/>
          <w:bottom w:val="nil"/>
          <w:right w:val="nil"/>
          <w:between w:val="nil"/>
        </w:pBdr>
        <w:tabs>
          <w:tab w:val="left" w:pos="720"/>
        </w:tabs>
        <w:spacing w:line="240" w:lineRule="auto"/>
        <w:ind w:left="0" w:hanging="2"/>
        <w:rPr>
          <w:rFonts w:ascii="Garamond" w:eastAsia="Garamond" w:hAnsi="Garamond" w:cs="Garamond"/>
          <w:color w:val="000000"/>
        </w:rPr>
      </w:pPr>
    </w:p>
    <w:p w:rsidR="00A22F56" w:rsidRDefault="00506037">
      <w:pPr>
        <w:numPr>
          <w:ilvl w:val="0"/>
          <w:numId w:val="19"/>
        </w:numPr>
        <w:ind w:left="0" w:hanging="2"/>
        <w:rPr>
          <w:rFonts w:ascii="Garamond" w:eastAsia="Garamond" w:hAnsi="Garamond" w:cs="Garamond"/>
        </w:rPr>
      </w:pPr>
      <w:r>
        <w:rPr>
          <w:rFonts w:ascii="Garamond" w:eastAsia="Garamond" w:hAnsi="Garamond" w:cs="Garamond"/>
        </w:rPr>
        <w:t>Other schedules may be required by the Town and/or the State of Rhode Island Director of Revenue, Auditor General, and Department of Education or as required by the applicable section of the general laws such as, Rhode Island General Law Sec</w:t>
      </w:r>
      <w:r>
        <w:rPr>
          <w:rFonts w:ascii="Garamond" w:eastAsia="Garamond" w:hAnsi="Garamond" w:cs="Garamond"/>
        </w:rPr>
        <w:t xml:space="preserve">tion (RIGL) 45-10-6 (Contents of Audit Report). </w:t>
      </w:r>
    </w:p>
    <w:p w:rsidR="00A22F56" w:rsidRDefault="00A22F56">
      <w:pPr>
        <w:ind w:left="0" w:hanging="2"/>
        <w:rPr>
          <w:rFonts w:ascii="Garamond" w:eastAsia="Garamond" w:hAnsi="Garamond" w:cs="Garamond"/>
        </w:rPr>
      </w:pPr>
    </w:p>
    <w:p w:rsidR="00A22F56" w:rsidRDefault="00506037">
      <w:pPr>
        <w:numPr>
          <w:ilvl w:val="0"/>
          <w:numId w:val="12"/>
        </w:numPr>
        <w:ind w:left="0" w:hanging="2"/>
        <w:rPr>
          <w:rFonts w:ascii="Garamond" w:eastAsia="Garamond" w:hAnsi="Garamond" w:cs="Garamond"/>
        </w:rPr>
      </w:pPr>
      <w:r>
        <w:rPr>
          <w:rFonts w:ascii="Garamond" w:eastAsia="Garamond" w:hAnsi="Garamond" w:cs="Garamond"/>
        </w:rPr>
        <w:t>Municipal Transparency Portal (MTP) - Enacted legislation amended Rhode Island General Laws §45-12-22.2 and §44-35-10 to improve required reporting by creating the Municipal Transparency Portal (MTP) which will represent a centralized location for municipa</w:t>
      </w:r>
      <w:r>
        <w:rPr>
          <w:rFonts w:ascii="Garamond" w:eastAsia="Garamond" w:hAnsi="Garamond" w:cs="Garamond"/>
        </w:rPr>
        <w:t>l financial information.  Each municipality shall include their Annual Supplemental Transparency Report, MTP2, within their annual audited financial statements. This requires one schedule that includes (1) municipal reportable government services and (2) a</w:t>
      </w:r>
      <w:r>
        <w:rPr>
          <w:rFonts w:ascii="Garamond" w:eastAsia="Garamond" w:hAnsi="Garamond" w:cs="Garamond"/>
        </w:rPr>
        <w:t>ll school services (consistent with RIDE UCOA requirements). The Annual Supplemental Transparency Report, MTP2, included within the annual audit report shall also include reconciliation to the amounts included in the fund level financial statements.</w:t>
      </w:r>
    </w:p>
    <w:p w:rsidR="00A22F56" w:rsidRDefault="00A22F56">
      <w:pPr>
        <w:pBdr>
          <w:top w:val="nil"/>
          <w:left w:val="nil"/>
          <w:bottom w:val="nil"/>
          <w:right w:val="nil"/>
          <w:between w:val="nil"/>
        </w:pBdr>
        <w:spacing w:line="240" w:lineRule="auto"/>
        <w:ind w:left="0" w:hanging="2"/>
        <w:rPr>
          <w:rFonts w:ascii="Garamond" w:eastAsia="Garamond" w:hAnsi="Garamond" w:cs="Garamond"/>
          <w:color w:val="000000"/>
        </w:rPr>
      </w:pPr>
    </w:p>
    <w:p w:rsidR="00A22F56" w:rsidRDefault="00506037">
      <w:pPr>
        <w:ind w:left="0" w:hanging="2"/>
        <w:rPr>
          <w:rFonts w:ascii="Garamond" w:eastAsia="Garamond" w:hAnsi="Garamond" w:cs="Garamond"/>
        </w:rPr>
      </w:pPr>
      <w:r>
        <w:rPr>
          <w:rFonts w:ascii="Garamond" w:eastAsia="Garamond" w:hAnsi="Garamond" w:cs="Garamond"/>
        </w:rPr>
        <w:t>The a</w:t>
      </w:r>
      <w:r>
        <w:rPr>
          <w:rFonts w:ascii="Garamond" w:eastAsia="Garamond" w:hAnsi="Garamond" w:cs="Garamond"/>
        </w:rPr>
        <w:t>uditors engaged to audit the municipality’s financial statements shall also report on the Annual Supplemental Transparency Report (including the reconciliations), MTP2, as supplementary information (“fairly presented in relation to the municipality’s basic</w:t>
      </w:r>
      <w:r>
        <w:rPr>
          <w:rFonts w:ascii="Garamond" w:eastAsia="Garamond" w:hAnsi="Garamond" w:cs="Garamond"/>
        </w:rPr>
        <w:t xml:space="preserve"> financial statements”).</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Auditors are not required to opine on the municipality’s determination of “reportable government services” (RGS) as defined in Section 2.1 of the Municipal Transparency Portal Implementation Guidance. The municipality will make th</w:t>
      </w:r>
      <w:r>
        <w:rPr>
          <w:rFonts w:ascii="Garamond" w:eastAsia="Garamond" w:hAnsi="Garamond" w:cs="Garamond"/>
        </w:rPr>
        <w:t>e determination of “reportable government services” for inclusion in the various reports required to be submitted through the municipal transparency portal. However, auditors will be expected to review the reconciliations as part of the Annual Supplemental</w:t>
      </w:r>
      <w:r>
        <w:rPr>
          <w:rFonts w:ascii="Garamond" w:eastAsia="Garamond" w:hAnsi="Garamond" w:cs="Garamond"/>
        </w:rPr>
        <w:t xml:space="preserve"> Transparency Report, MTP2, (required for inclusion in the audited financial statements as supplementary information) to assess the inclusion of amounts reported which are not within the municipality’s or school’s general fund.</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xml:space="preserve">The format of the required </w:t>
      </w:r>
      <w:r>
        <w:rPr>
          <w:rFonts w:ascii="Garamond" w:eastAsia="Garamond" w:hAnsi="Garamond" w:cs="Garamond"/>
        </w:rPr>
        <w:t xml:space="preserve">MTP schedules and related reconciliations, as well as, the typical timeline for filing of the annual municipal data report and coordination with annual financial statement audit, are detailed in the MTP </w:t>
      </w:r>
      <w:r>
        <w:rPr>
          <w:rFonts w:ascii="Garamond" w:eastAsia="Garamond" w:hAnsi="Garamond" w:cs="Garamond"/>
        </w:rPr>
        <w:lastRenderedPageBreak/>
        <w:t>Implementation Guidance (available on the data.ri.gov</w:t>
      </w:r>
      <w:r>
        <w:rPr>
          <w:rFonts w:ascii="Garamond" w:eastAsia="Garamond" w:hAnsi="Garamond" w:cs="Garamond"/>
        </w:rPr>
        <w:t xml:space="preserve"> Municipal Transparency Portal (MTP) website: </w:t>
      </w:r>
      <w:hyperlink r:id="rId10">
        <w:r>
          <w:rPr>
            <w:color w:val="0563C1"/>
            <w:sz w:val="22"/>
            <w:szCs w:val="22"/>
            <w:u w:val="single"/>
          </w:rPr>
          <w:t>MTP Docs &amp; Data | Rhode Island - Open Data (ri.gov)</w:t>
        </w:r>
      </w:hyperlink>
      <w:r>
        <w:rPr>
          <w:rFonts w:ascii="Garamond" w:eastAsia="Garamond" w:hAnsi="Garamond" w:cs="Garamond"/>
        </w:rPr>
        <w:t>).</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The Independent Auditor’s Report shall include reference to the Annual Supplemental Transparency</w:t>
      </w:r>
      <w:r>
        <w:rPr>
          <w:rFonts w:ascii="Garamond" w:eastAsia="Garamond" w:hAnsi="Garamond" w:cs="Garamond"/>
        </w:rPr>
        <w:t xml:space="preserve"> Report, MTP2, as supplementary information.  See the Municipal Transparency Portal Implementation Guidance for additional information.</w:t>
      </w:r>
    </w:p>
    <w:p w:rsidR="00A22F56" w:rsidRDefault="00A22F56">
      <w:pPr>
        <w:ind w:left="0" w:hanging="2"/>
        <w:rPr>
          <w:rFonts w:ascii="Garamond" w:eastAsia="Garamond" w:hAnsi="Garamond" w:cs="Garamond"/>
          <w:shd w:val="clear" w:color="auto" w:fill="CFE2F3"/>
        </w:rPr>
      </w:pPr>
    </w:p>
    <w:p w:rsidR="00A22F56" w:rsidRDefault="00506037">
      <w:pPr>
        <w:numPr>
          <w:ilvl w:val="0"/>
          <w:numId w:val="19"/>
        </w:numPr>
        <w:ind w:left="0" w:hanging="2"/>
        <w:rPr>
          <w:rFonts w:ascii="Garamond" w:eastAsia="Garamond" w:hAnsi="Garamond" w:cs="Garamond"/>
        </w:rPr>
      </w:pPr>
      <w:r>
        <w:rPr>
          <w:rFonts w:ascii="Garamond" w:eastAsia="Garamond" w:hAnsi="Garamond" w:cs="Garamond"/>
        </w:rPr>
        <w:t>The Uniform Chart of Accounts was implemented as promulgated by the Auditor General and Commissioner of Education in ac</w:t>
      </w:r>
      <w:r>
        <w:rPr>
          <w:rFonts w:ascii="Garamond" w:eastAsia="Garamond" w:hAnsi="Garamond" w:cs="Garamond"/>
        </w:rPr>
        <w:t>cordance with Rhode Island General Law 16-2-9.4.  Each municipal school district, regional school district, collaborative, or charter school, which is required to adopt the UCOA, shall have additional compliance testing procedures designed to assess compli</w:t>
      </w:r>
      <w:r>
        <w:rPr>
          <w:rFonts w:ascii="Garamond" w:eastAsia="Garamond" w:hAnsi="Garamond" w:cs="Garamond"/>
        </w:rPr>
        <w:t xml:space="preserve">ance with UCOA requirements and the entity’s effectiveness of internal control over compliance with those requirements.  </w:t>
      </w:r>
    </w:p>
    <w:p w:rsidR="00A22F56" w:rsidRDefault="00A22F56">
      <w:pPr>
        <w:pBdr>
          <w:top w:val="nil"/>
          <w:left w:val="nil"/>
          <w:bottom w:val="nil"/>
          <w:right w:val="nil"/>
          <w:between w:val="nil"/>
        </w:pBdr>
        <w:spacing w:line="240" w:lineRule="auto"/>
        <w:ind w:left="0" w:hanging="2"/>
        <w:rPr>
          <w:rFonts w:ascii="Garamond" w:eastAsia="Garamond" w:hAnsi="Garamond" w:cs="Garamond"/>
          <w:color w:val="000000"/>
        </w:rPr>
      </w:pPr>
    </w:p>
    <w:p w:rsidR="00A22F56" w:rsidRDefault="00506037">
      <w:pPr>
        <w:ind w:left="0" w:hanging="2"/>
        <w:rPr>
          <w:rFonts w:ascii="Garamond" w:eastAsia="Garamond" w:hAnsi="Garamond" w:cs="Garamond"/>
        </w:rPr>
      </w:pPr>
      <w:r>
        <w:rPr>
          <w:rFonts w:ascii="Garamond" w:eastAsia="Garamond" w:hAnsi="Garamond" w:cs="Garamond"/>
        </w:rPr>
        <w:t>The auditors engaged to perform the annual audit of the District shall also be engaged to report on their tests of compliance with Sc</w:t>
      </w:r>
      <w:r>
        <w:rPr>
          <w:rFonts w:ascii="Garamond" w:eastAsia="Garamond" w:hAnsi="Garamond" w:cs="Garamond"/>
        </w:rPr>
        <w:t xml:space="preserve">hool UCOA requirements in an agreed-upon procedures compliance attestation format.  </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xml:space="preserve">See Appendix D for the agreed-upon procedures.  Please note that the agreed-upon procedures may be subject to subsequent modification.  </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Ten copies of the final agreed-u</w:t>
      </w:r>
      <w:r>
        <w:rPr>
          <w:rFonts w:ascii="Garamond" w:eastAsia="Garamond" w:hAnsi="Garamond" w:cs="Garamond"/>
        </w:rPr>
        <w:t xml:space="preserve">pon procedures report on the School District’s compliance with the Uniform Chart of Accounts shall be delivered to the Superintendent of Schools.  </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Auditors should have performed the test work necessary to complete the UCOA Agreed-Upon Procedures before issuing the audit report.  The agreed-upon procedures report, along with the audited financial statements, shall be provided to the Rhode Island Depar</w:t>
      </w:r>
      <w:r>
        <w:rPr>
          <w:rFonts w:ascii="Garamond" w:eastAsia="Garamond" w:hAnsi="Garamond" w:cs="Garamond"/>
        </w:rPr>
        <w:t xml:space="preserve">tment of Education and the Office of the Auditor General at the conclusion of the annual audit or the revised timeline established by the Rhode Island Department of Education and the Office of the Auditor General.  </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The dollar cost bid should specifically</w:t>
      </w:r>
      <w:r>
        <w:rPr>
          <w:rFonts w:ascii="Garamond" w:eastAsia="Garamond" w:hAnsi="Garamond" w:cs="Garamond"/>
        </w:rPr>
        <w:t xml:space="preserve"> identify the fee for the audit services and the fee for the agreed-upon procedures.  </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C.  Auditing Standards To Be Followed:</w:t>
      </w:r>
    </w:p>
    <w:p w:rsidR="00A22F56" w:rsidRDefault="00506037">
      <w:pPr>
        <w:tabs>
          <w:tab w:val="left" w:pos="720"/>
        </w:tabs>
        <w:ind w:left="0" w:hanging="2"/>
        <w:rPr>
          <w:rFonts w:ascii="Garamond" w:eastAsia="Garamond" w:hAnsi="Garamond" w:cs="Garamond"/>
        </w:rPr>
      </w:pPr>
      <w:r>
        <w:rPr>
          <w:b/>
        </w:rPr>
        <w:tab/>
      </w:r>
      <w:r>
        <w:rPr>
          <w:b/>
        </w:rPr>
        <w:tab/>
      </w:r>
    </w:p>
    <w:p w:rsidR="00A22F56" w:rsidRDefault="00506037">
      <w:pPr>
        <w:numPr>
          <w:ilvl w:val="0"/>
          <w:numId w:val="35"/>
        </w:numPr>
        <w:ind w:left="0" w:hanging="2"/>
        <w:rPr>
          <w:rFonts w:ascii="Garamond" w:eastAsia="Garamond" w:hAnsi="Garamond" w:cs="Garamond"/>
        </w:rPr>
      </w:pPr>
      <w:r>
        <w:rPr>
          <w:rFonts w:ascii="Garamond" w:eastAsia="Garamond" w:hAnsi="Garamond" w:cs="Garamond"/>
        </w:rPr>
        <w:t>To meet the requirements of this request for proposals, the audit shall be performed in accordance with:</w:t>
      </w:r>
    </w:p>
    <w:p w:rsidR="00A22F56" w:rsidRDefault="00A22F56">
      <w:pPr>
        <w:tabs>
          <w:tab w:val="left" w:pos="720"/>
        </w:tabs>
        <w:ind w:left="0" w:hanging="2"/>
        <w:rPr>
          <w:rFonts w:ascii="Garamond" w:eastAsia="Garamond" w:hAnsi="Garamond" w:cs="Garamond"/>
        </w:rPr>
      </w:pPr>
    </w:p>
    <w:p w:rsidR="00A22F56" w:rsidRDefault="00506037">
      <w:pPr>
        <w:numPr>
          <w:ilvl w:val="1"/>
          <w:numId w:val="35"/>
        </w:numPr>
        <w:tabs>
          <w:tab w:val="left" w:pos="720"/>
        </w:tabs>
        <w:ind w:left="0" w:hanging="2"/>
        <w:rPr>
          <w:rFonts w:ascii="Garamond" w:eastAsia="Garamond" w:hAnsi="Garamond" w:cs="Garamond"/>
        </w:rPr>
      </w:pPr>
      <w:r>
        <w:rPr>
          <w:rFonts w:ascii="Garamond" w:eastAsia="Garamond" w:hAnsi="Garamond" w:cs="Garamond"/>
        </w:rPr>
        <w:t>Generally accepte</w:t>
      </w:r>
      <w:r>
        <w:rPr>
          <w:rFonts w:ascii="Garamond" w:eastAsia="Garamond" w:hAnsi="Garamond" w:cs="Garamond"/>
        </w:rPr>
        <w:t>d auditing standards established by the American Institute of Certified Public Accountants, the standards for financial audits set forth in Government Auditing Standards issued by the Comptroller General of the United States, standards contained in the ame</w:t>
      </w:r>
      <w:r>
        <w:rPr>
          <w:rFonts w:ascii="Garamond" w:eastAsia="Garamond" w:hAnsi="Garamond" w:cs="Garamond"/>
        </w:rPr>
        <w:t>nded (July 1996) Single Audit Act of 1984, and the provisions of revised OMB Guidance 2 CFR part 200 - Uniform Administrative Requirements, Cost Principles, and Audit Requirements for Federal Awards (OMB Uniform Guidance) - Subpart F – Audit Requirements.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b/>
        </w:rPr>
      </w:pPr>
      <w:r>
        <w:rPr>
          <w:rFonts w:ascii="Garamond" w:eastAsia="Garamond" w:hAnsi="Garamond" w:cs="Garamond"/>
        </w:rPr>
        <w:t xml:space="preserve">   </w:t>
      </w:r>
      <w:r>
        <w:rPr>
          <w:rFonts w:ascii="Garamond" w:eastAsia="Garamond" w:hAnsi="Garamond" w:cs="Garamond"/>
          <w:b/>
        </w:rPr>
        <w:t xml:space="preserve">D.  Reports To Be Prepared and Issued by Auditing Firm, based on the trial balances prepared by the   </w:t>
      </w: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District:</w:t>
      </w: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w:t>
      </w:r>
    </w:p>
    <w:p w:rsidR="00A22F56" w:rsidRDefault="00506037">
      <w:pPr>
        <w:ind w:left="0" w:hanging="2"/>
        <w:rPr>
          <w:rFonts w:ascii="Garamond" w:eastAsia="Garamond" w:hAnsi="Garamond" w:cs="Garamond"/>
        </w:rPr>
      </w:pPr>
      <w:r>
        <w:rPr>
          <w:rFonts w:ascii="Garamond" w:eastAsia="Garamond" w:hAnsi="Garamond" w:cs="Garamond"/>
        </w:rPr>
        <w:t>Financial Report to include:</w:t>
      </w:r>
    </w:p>
    <w:p w:rsidR="00A22F56" w:rsidRDefault="00A22F56">
      <w:pPr>
        <w:tabs>
          <w:tab w:val="left" w:pos="720"/>
        </w:tabs>
        <w:ind w:left="0" w:hanging="2"/>
        <w:rPr>
          <w:rFonts w:ascii="Garamond" w:eastAsia="Garamond" w:hAnsi="Garamond" w:cs="Garamond"/>
        </w:rPr>
      </w:pP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Statement of Net Position</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Statement of Activities</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Balance Sheet</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lastRenderedPageBreak/>
        <w:t>Statement of Revenues, Expenditures, and Changes in Fund Balance</w:t>
      </w:r>
    </w:p>
    <w:p w:rsidR="00A22F56" w:rsidRDefault="00506037">
      <w:pPr>
        <w:numPr>
          <w:ilvl w:val="1"/>
          <w:numId w:val="37"/>
        </w:numPr>
        <w:ind w:left="0" w:hanging="2"/>
        <w:rPr>
          <w:rFonts w:ascii="Garamond" w:eastAsia="Garamond" w:hAnsi="Garamond" w:cs="Garamond"/>
        </w:rPr>
      </w:pPr>
      <w:r>
        <w:rPr>
          <w:rFonts w:ascii="Garamond" w:eastAsia="Garamond" w:hAnsi="Garamond" w:cs="Garamond"/>
        </w:rPr>
        <w:t>Reconciliation of the Governmental Fund Balances to the Statement of Net Position</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Statement of Net Position – Proprietary Funds</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Statement of Revenues, Expenses, and Changes in Net Position – Proprietary Funds</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Statement of Cash Flows – Proprietary Funds</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Statement of Fiduciary Net Position – Fiduciary Funds</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Notes to Financial Statements</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 xml:space="preserve">Required Supplementary Information </w:t>
      </w:r>
    </w:p>
    <w:p w:rsidR="00A22F56" w:rsidRDefault="00506037">
      <w:pPr>
        <w:tabs>
          <w:tab w:val="left" w:pos="720"/>
        </w:tabs>
        <w:ind w:left="0" w:hanging="2"/>
        <w:rPr>
          <w:rFonts w:ascii="Garamond" w:eastAsia="Garamond" w:hAnsi="Garamond" w:cs="Garamond"/>
        </w:rPr>
      </w:pPr>
      <w:r>
        <w:rPr>
          <w:rFonts w:ascii="Garamond" w:eastAsia="Garamond" w:hAnsi="Garamond" w:cs="Garamond"/>
        </w:rPr>
        <w:t>Statement o</w:t>
      </w:r>
      <w:r>
        <w:rPr>
          <w:rFonts w:ascii="Garamond" w:eastAsia="Garamond" w:hAnsi="Garamond" w:cs="Garamond"/>
        </w:rPr>
        <w:t xml:space="preserve">f Revenues and Expenditures (non-GAAP Budgetary Basis) Budget and Actual </w:t>
      </w:r>
    </w:p>
    <w:p w:rsidR="00A22F56" w:rsidRDefault="00506037">
      <w:pPr>
        <w:tabs>
          <w:tab w:val="left" w:pos="720"/>
        </w:tabs>
        <w:ind w:left="0" w:hanging="2"/>
        <w:rPr>
          <w:rFonts w:ascii="Garamond" w:eastAsia="Garamond" w:hAnsi="Garamond" w:cs="Garamond"/>
        </w:rPr>
      </w:pPr>
      <w:r>
        <w:rPr>
          <w:rFonts w:ascii="Garamond" w:eastAsia="Garamond" w:hAnsi="Garamond" w:cs="Garamond"/>
        </w:rPr>
        <w:t>Notes to Required Supplementary Information</w:t>
      </w:r>
    </w:p>
    <w:p w:rsidR="00A22F56" w:rsidRDefault="00506037">
      <w:pPr>
        <w:tabs>
          <w:tab w:val="left" w:pos="720"/>
        </w:tabs>
        <w:ind w:left="0" w:hanging="2"/>
        <w:rPr>
          <w:rFonts w:ascii="Garamond" w:eastAsia="Garamond" w:hAnsi="Garamond" w:cs="Garamond"/>
        </w:rPr>
      </w:pPr>
      <w:r>
        <w:rPr>
          <w:rFonts w:ascii="Garamond" w:eastAsia="Garamond" w:hAnsi="Garamond" w:cs="Garamond"/>
        </w:rPr>
        <w:t>Schedules related to defined benefit pension plans and OPEB plans</w:t>
      </w:r>
    </w:p>
    <w:p w:rsidR="00A22F56" w:rsidRDefault="00506037">
      <w:pPr>
        <w:numPr>
          <w:ilvl w:val="1"/>
          <w:numId w:val="37"/>
        </w:numPr>
        <w:tabs>
          <w:tab w:val="left" w:pos="720"/>
        </w:tabs>
        <w:ind w:left="0" w:hanging="2"/>
        <w:rPr>
          <w:rFonts w:ascii="Garamond" w:eastAsia="Garamond" w:hAnsi="Garamond" w:cs="Garamond"/>
        </w:rPr>
      </w:pPr>
      <w:r>
        <w:rPr>
          <w:rFonts w:ascii="Garamond" w:eastAsia="Garamond" w:hAnsi="Garamond" w:cs="Garamond"/>
        </w:rPr>
        <w:t>Supplementary Financial Statements, Schedules, and Information</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t xml:space="preserve">     </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t>F</w:t>
      </w:r>
      <w:r>
        <w:rPr>
          <w:rFonts w:ascii="Garamond" w:eastAsia="Garamond" w:hAnsi="Garamond" w:cs="Garamond"/>
        </w:rPr>
        <w:t>ollowing the completion of the fiscal year’s financial statements, the auditor shall report on:</w:t>
      </w:r>
    </w:p>
    <w:p w:rsidR="00A22F56" w:rsidRDefault="00A22F56">
      <w:pPr>
        <w:tabs>
          <w:tab w:val="left" w:pos="720"/>
        </w:tabs>
        <w:ind w:left="0" w:hanging="2"/>
        <w:rPr>
          <w:rFonts w:ascii="Garamond" w:eastAsia="Garamond" w:hAnsi="Garamond" w:cs="Garamond"/>
        </w:rPr>
      </w:pPr>
    </w:p>
    <w:p w:rsidR="00A22F56" w:rsidRDefault="00506037">
      <w:pPr>
        <w:numPr>
          <w:ilvl w:val="0"/>
          <w:numId w:val="50"/>
        </w:numPr>
        <w:ind w:left="0" w:hanging="2"/>
        <w:rPr>
          <w:rFonts w:ascii="Garamond" w:eastAsia="Garamond" w:hAnsi="Garamond" w:cs="Garamond"/>
        </w:rPr>
      </w:pPr>
      <w:r>
        <w:rPr>
          <w:rFonts w:ascii="Garamond" w:eastAsia="Garamond" w:hAnsi="Garamond" w:cs="Garamond"/>
        </w:rPr>
        <w:t xml:space="preserve">The fair presentation of the financial statements in conformity with generally accepted accounting principles based upon an audit performed in accordance with </w:t>
      </w:r>
      <w:r>
        <w:rPr>
          <w:rFonts w:ascii="Garamond" w:eastAsia="Garamond" w:hAnsi="Garamond" w:cs="Garamond"/>
        </w:rPr>
        <w:t>generally accepted auditing standards and Government Auditing Standards.  The auditor shall also make reference to, but not opine on, required supplementary information consistent with reporting guidance in the applicable AICPA Audit Guide.</w:t>
      </w:r>
    </w:p>
    <w:p w:rsidR="00A22F56" w:rsidRDefault="00A22F56">
      <w:pPr>
        <w:ind w:left="0" w:hanging="2"/>
        <w:rPr>
          <w:rFonts w:ascii="Garamond" w:eastAsia="Garamond" w:hAnsi="Garamond" w:cs="Garamond"/>
        </w:rPr>
      </w:pPr>
    </w:p>
    <w:p w:rsidR="00A22F56" w:rsidRDefault="00506037">
      <w:pPr>
        <w:numPr>
          <w:ilvl w:val="0"/>
          <w:numId w:val="50"/>
        </w:numPr>
        <w:ind w:left="0" w:hanging="2"/>
        <w:rPr>
          <w:rFonts w:ascii="Garamond" w:eastAsia="Garamond" w:hAnsi="Garamond" w:cs="Garamond"/>
        </w:rPr>
      </w:pPr>
      <w:r>
        <w:rPr>
          <w:rFonts w:ascii="Garamond" w:eastAsia="Garamond" w:hAnsi="Garamond" w:cs="Garamond"/>
        </w:rPr>
        <w:t>Supplementary financial statements, schedules and information, are fairly stated in all material respects in relation to the basic financial statements as a whole.</w:t>
      </w:r>
    </w:p>
    <w:p w:rsidR="00A22F56" w:rsidRDefault="00A22F56">
      <w:pPr>
        <w:ind w:left="0" w:hanging="2"/>
        <w:rPr>
          <w:rFonts w:ascii="Garamond" w:eastAsia="Garamond" w:hAnsi="Garamond" w:cs="Garamond"/>
        </w:rPr>
      </w:pPr>
    </w:p>
    <w:p w:rsidR="00A22F56" w:rsidRDefault="00506037">
      <w:pPr>
        <w:numPr>
          <w:ilvl w:val="0"/>
          <w:numId w:val="13"/>
        </w:numPr>
        <w:ind w:left="0" w:hanging="2"/>
        <w:rPr>
          <w:rFonts w:ascii="Garamond" w:eastAsia="Garamond" w:hAnsi="Garamond" w:cs="Garamond"/>
        </w:rPr>
      </w:pPr>
      <w:r>
        <w:rPr>
          <w:rFonts w:ascii="Garamond" w:eastAsia="Garamond" w:hAnsi="Garamond" w:cs="Garamond"/>
        </w:rPr>
        <w:t>The supplementary information shall include combining fund financial statements (and if app</w:t>
      </w:r>
      <w:r>
        <w:rPr>
          <w:rFonts w:ascii="Garamond" w:eastAsia="Garamond" w:hAnsi="Garamond" w:cs="Garamond"/>
        </w:rPr>
        <w:t>licable, General fund combining financial statements) and the Annual Supplemental Transparency Report (MTP2, including the reconciliations).</w:t>
      </w:r>
    </w:p>
    <w:p w:rsidR="00A22F56" w:rsidRDefault="00A22F56">
      <w:pPr>
        <w:ind w:left="0" w:hanging="2"/>
        <w:rPr>
          <w:rFonts w:ascii="Garamond" w:eastAsia="Garamond" w:hAnsi="Garamond" w:cs="Garamond"/>
        </w:rPr>
      </w:pPr>
    </w:p>
    <w:p w:rsidR="00A22F56" w:rsidRDefault="00506037">
      <w:pPr>
        <w:numPr>
          <w:ilvl w:val="0"/>
          <w:numId w:val="13"/>
        </w:numPr>
        <w:ind w:left="0" w:hanging="2"/>
        <w:rPr>
          <w:rFonts w:ascii="Garamond" w:eastAsia="Garamond" w:hAnsi="Garamond" w:cs="Garamond"/>
        </w:rPr>
      </w:pPr>
      <w:r>
        <w:rPr>
          <w:rFonts w:ascii="Garamond" w:eastAsia="Garamond" w:hAnsi="Garamond" w:cs="Garamond"/>
        </w:rPr>
        <w:t>If the supplementary schedule of expenditures of federal awards is issued with the financial statements, the audit</w:t>
      </w:r>
      <w:r>
        <w:rPr>
          <w:rFonts w:ascii="Garamond" w:eastAsia="Garamond" w:hAnsi="Garamond" w:cs="Garamond"/>
        </w:rPr>
        <w:t>or is to provide an "in-relation-to" opinion on that schedule, based on the auditing procedures applied during the audit of the financial statements.</w:t>
      </w:r>
    </w:p>
    <w:p w:rsidR="00A22F56" w:rsidRDefault="00A22F56">
      <w:pPr>
        <w:pBdr>
          <w:top w:val="nil"/>
          <w:left w:val="nil"/>
          <w:bottom w:val="nil"/>
          <w:right w:val="nil"/>
          <w:between w:val="nil"/>
        </w:pBdr>
        <w:spacing w:line="240" w:lineRule="auto"/>
        <w:ind w:left="0" w:hanging="2"/>
        <w:jc w:val="both"/>
        <w:rPr>
          <w:rFonts w:ascii="Garamond" w:eastAsia="Garamond" w:hAnsi="Garamond" w:cs="Garamond"/>
        </w:rPr>
      </w:pPr>
    </w:p>
    <w:p w:rsidR="00A22F56" w:rsidRDefault="00506037">
      <w:pPr>
        <w:numPr>
          <w:ilvl w:val="0"/>
          <w:numId w:val="50"/>
        </w:numPr>
        <w:ind w:left="0" w:hanging="2"/>
      </w:pPr>
      <w:r>
        <w:rPr>
          <w:rFonts w:ascii="Garamond" w:eastAsia="Garamond" w:hAnsi="Garamond" w:cs="Garamond"/>
        </w:rPr>
        <w:t>Internal Control over Financial Reporting and On Compliance and Other Matters Based on an Audit of Financ</w:t>
      </w:r>
      <w:r>
        <w:rPr>
          <w:rFonts w:ascii="Garamond" w:eastAsia="Garamond" w:hAnsi="Garamond" w:cs="Garamond"/>
        </w:rPr>
        <w:t>ial Statements performed in Accordance with Government Auditing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50"/>
        </w:numPr>
        <w:ind w:left="0" w:hanging="2"/>
      </w:pPr>
      <w:r>
        <w:rPr>
          <w:rFonts w:ascii="Garamond" w:eastAsia="Garamond" w:hAnsi="Garamond" w:cs="Garamond"/>
        </w:rPr>
        <w:t>Reports and summaries related to federal financial assistance as required by OMB Guidance – including the Schedule of Expenditures of Federal Awards (the auditor should refer to app</w:t>
      </w:r>
      <w:r>
        <w:rPr>
          <w:rFonts w:ascii="Garamond" w:eastAsia="Garamond" w:hAnsi="Garamond" w:cs="Garamond"/>
        </w:rPr>
        <w:t>licable OMB guidance in effect and the applicable AICPA Audit Guide for reporting guidance) and a completed Form SF-SAC, “Data Collection Form for Reporting on Audits of State, Local Governments and Non-Profit Organizations” to be submitted in accordance w</w:t>
      </w:r>
      <w:r>
        <w:rPr>
          <w:rFonts w:ascii="Garamond" w:eastAsia="Garamond" w:hAnsi="Garamond" w:cs="Garamond"/>
        </w:rPr>
        <w:t xml:space="preserve">ith the current method of submission for Form SF-SAC and Single Audit reporting packages (per OMB public Notice), to the Federal Audit Clearinghouse Internet Data Entry System.  </w:t>
      </w:r>
    </w:p>
    <w:p w:rsidR="00A22F56" w:rsidRDefault="00A22F56">
      <w:pPr>
        <w:ind w:left="0" w:hanging="2"/>
        <w:rPr>
          <w:rFonts w:ascii="Garamond" w:eastAsia="Garamond" w:hAnsi="Garamond" w:cs="Garamond"/>
        </w:rPr>
      </w:pPr>
    </w:p>
    <w:p w:rsidR="00A22F56" w:rsidRDefault="00506037">
      <w:pPr>
        <w:numPr>
          <w:ilvl w:val="1"/>
          <w:numId w:val="50"/>
        </w:numPr>
        <w:ind w:left="0" w:hanging="2"/>
      </w:pPr>
      <w:r>
        <w:rPr>
          <w:rFonts w:ascii="Garamond" w:eastAsia="Garamond" w:hAnsi="Garamond" w:cs="Garamond"/>
        </w:rPr>
        <w:t>If the supplementary schedule of expenditures of federal awards is issued se</w:t>
      </w:r>
      <w:r>
        <w:rPr>
          <w:rFonts w:ascii="Garamond" w:eastAsia="Garamond" w:hAnsi="Garamond" w:cs="Garamond"/>
        </w:rPr>
        <w:t xml:space="preserve">parately from the financial statements, the auditor is to provide an "in-relation-to" opinion on that schedule, based on the auditing procedures applied during the audit of the financial statements.  </w:t>
      </w:r>
    </w:p>
    <w:p w:rsidR="00A22F56" w:rsidRDefault="00A22F56">
      <w:pPr>
        <w:tabs>
          <w:tab w:val="left" w:pos="720"/>
        </w:tabs>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In the required reports on internal controls, the audi</w:t>
      </w:r>
      <w:r>
        <w:rPr>
          <w:rFonts w:ascii="Garamond" w:eastAsia="Garamond" w:hAnsi="Garamond" w:cs="Garamond"/>
        </w:rPr>
        <w:t>tor shall communicate any significant deficiencies found during the audit.  A significant deficiency is a deficiency, or a combination of deficiencies, in internal control that is less severe than a material weakness, yet important enough to merit attentio</w:t>
      </w:r>
      <w:r>
        <w:rPr>
          <w:rFonts w:ascii="Garamond" w:eastAsia="Garamond" w:hAnsi="Garamond" w:cs="Garamond"/>
        </w:rPr>
        <w:t xml:space="preserve">n by those charged with governance.  A material weakness is a deficiency, or a combination of deficiencies, in internal control, such that there is a reasonable </w:t>
      </w:r>
      <w:r>
        <w:rPr>
          <w:rFonts w:ascii="Garamond" w:eastAsia="Garamond" w:hAnsi="Garamond" w:cs="Garamond"/>
        </w:rPr>
        <w:lastRenderedPageBreak/>
        <w:t>possibility that a material misstatement of the entity’s financial statements will not be preve</w:t>
      </w:r>
      <w:r>
        <w:rPr>
          <w:rFonts w:ascii="Garamond" w:eastAsia="Garamond" w:hAnsi="Garamond" w:cs="Garamond"/>
        </w:rPr>
        <w:t>nted, or detected and corrected on a timely basis.</w:t>
      </w:r>
    </w:p>
    <w:p w:rsidR="00A22F56" w:rsidRDefault="00A22F56">
      <w:pPr>
        <w:tabs>
          <w:tab w:val="left" w:pos="720"/>
        </w:tabs>
        <w:ind w:left="0" w:hanging="2"/>
        <w:rPr>
          <w:rFonts w:ascii="Garamond" w:eastAsia="Garamond" w:hAnsi="Garamond" w:cs="Garamond"/>
        </w:rPr>
      </w:pPr>
    </w:p>
    <w:p w:rsidR="00A22F56" w:rsidRDefault="00506037">
      <w:pPr>
        <w:numPr>
          <w:ilvl w:val="1"/>
          <w:numId w:val="48"/>
        </w:numPr>
        <w:ind w:left="0" w:hanging="2"/>
        <w:rPr>
          <w:rFonts w:ascii="Garamond" w:eastAsia="Garamond" w:hAnsi="Garamond" w:cs="Garamond"/>
        </w:rPr>
      </w:pPr>
      <w:r>
        <w:rPr>
          <w:rFonts w:ascii="Garamond" w:eastAsia="Garamond" w:hAnsi="Garamond" w:cs="Garamond"/>
        </w:rPr>
        <w:t>Significant deficiencies that are also material weaknesses shall be identified as such in the report</w:t>
      </w:r>
    </w:p>
    <w:p w:rsidR="00A22F56" w:rsidRDefault="00A22F56">
      <w:pPr>
        <w:tabs>
          <w:tab w:val="left" w:pos="720"/>
        </w:tabs>
        <w:ind w:left="0" w:hanging="2"/>
        <w:rPr>
          <w:rFonts w:ascii="Garamond" w:eastAsia="Garamond" w:hAnsi="Garamond" w:cs="Garamond"/>
        </w:rPr>
      </w:pPr>
    </w:p>
    <w:p w:rsidR="00A22F56" w:rsidRDefault="00506037">
      <w:pPr>
        <w:numPr>
          <w:ilvl w:val="1"/>
          <w:numId w:val="48"/>
        </w:numPr>
        <w:ind w:left="0" w:hanging="2"/>
        <w:rPr>
          <w:rFonts w:ascii="Garamond" w:eastAsia="Garamond" w:hAnsi="Garamond" w:cs="Garamond"/>
        </w:rPr>
      </w:pPr>
      <w:r>
        <w:rPr>
          <w:rFonts w:ascii="Garamond" w:eastAsia="Garamond" w:hAnsi="Garamond" w:cs="Garamond"/>
        </w:rPr>
        <w:t>Other matters, for example, control deficiencies that are not significant deficiencies or material weaknesses discovered by the auditors shall be reported in a separate letter to management.</w:t>
      </w:r>
    </w:p>
    <w:p w:rsidR="00A22F56" w:rsidRDefault="00A22F56">
      <w:pPr>
        <w:ind w:left="0" w:hanging="2"/>
        <w:rPr>
          <w:rFonts w:ascii="Garamond" w:eastAsia="Garamond" w:hAnsi="Garamond" w:cs="Garamond"/>
        </w:rPr>
      </w:pPr>
    </w:p>
    <w:p w:rsidR="00A22F56" w:rsidRDefault="00506037">
      <w:pPr>
        <w:numPr>
          <w:ilvl w:val="1"/>
          <w:numId w:val="48"/>
        </w:numPr>
        <w:ind w:left="0" w:hanging="2"/>
        <w:rPr>
          <w:rFonts w:ascii="Garamond" w:eastAsia="Garamond" w:hAnsi="Garamond" w:cs="Garamond"/>
        </w:rPr>
      </w:pPr>
      <w:r>
        <w:rPr>
          <w:rFonts w:ascii="Garamond" w:eastAsia="Garamond" w:hAnsi="Garamond" w:cs="Garamond"/>
        </w:rPr>
        <w:t>The report on compliance shall include all material instances of</w:t>
      </w:r>
      <w:r>
        <w:rPr>
          <w:rFonts w:ascii="Garamond" w:eastAsia="Garamond" w:hAnsi="Garamond" w:cs="Garamond"/>
        </w:rPr>
        <w:t xml:space="preserve"> noncompliance.  All nonmaterial instances of noncompliance shall be reported in a separate management letter.</w:t>
      </w:r>
    </w:p>
    <w:p w:rsidR="00A22F56" w:rsidRDefault="00A22F56">
      <w:pPr>
        <w:tabs>
          <w:tab w:val="left" w:pos="720"/>
        </w:tabs>
        <w:ind w:left="0" w:hanging="2"/>
        <w:rPr>
          <w:rFonts w:ascii="Garamond" w:eastAsia="Garamond" w:hAnsi="Garamond" w:cs="Garamond"/>
        </w:rPr>
      </w:pPr>
    </w:p>
    <w:p w:rsidR="00A22F56" w:rsidRDefault="00506037">
      <w:pPr>
        <w:numPr>
          <w:ilvl w:val="1"/>
          <w:numId w:val="48"/>
        </w:numPr>
        <w:ind w:left="0" w:hanging="2"/>
        <w:rPr>
          <w:rFonts w:ascii="Garamond" w:eastAsia="Garamond" w:hAnsi="Garamond" w:cs="Garamond"/>
        </w:rPr>
      </w:pPr>
      <w:r>
        <w:rPr>
          <w:rFonts w:ascii="Garamond" w:eastAsia="Garamond" w:hAnsi="Garamond" w:cs="Garamond"/>
        </w:rPr>
        <w:t>The auditors are required to make an immediate written report of all fraud and illegal acts of which they become aware to the Chairperson of the</w:t>
      </w:r>
      <w:r>
        <w:rPr>
          <w:rFonts w:ascii="Garamond" w:eastAsia="Garamond" w:hAnsi="Garamond" w:cs="Garamond"/>
        </w:rPr>
        <w:t xml:space="preserve"> School Committee and the Chairperson of the Audit Committee.</w:t>
      </w:r>
    </w:p>
    <w:p w:rsidR="00A22F56" w:rsidRDefault="00A22F56">
      <w:pPr>
        <w:ind w:left="0" w:hanging="2"/>
        <w:rPr>
          <w:rFonts w:ascii="Garamond" w:eastAsia="Garamond" w:hAnsi="Garamond" w:cs="Garamond"/>
        </w:rPr>
      </w:pPr>
    </w:p>
    <w:p w:rsidR="00A22F56" w:rsidRDefault="00506037">
      <w:pPr>
        <w:numPr>
          <w:ilvl w:val="0"/>
          <w:numId w:val="50"/>
        </w:numPr>
        <w:ind w:left="0" w:hanging="2"/>
        <w:rPr>
          <w:rFonts w:ascii="Garamond" w:eastAsia="Garamond" w:hAnsi="Garamond" w:cs="Garamond"/>
        </w:rPr>
      </w:pPr>
      <w:r>
        <w:rPr>
          <w:rFonts w:ascii="Garamond" w:eastAsia="Garamond" w:hAnsi="Garamond" w:cs="Garamond"/>
        </w:rPr>
        <w:t>Other reports requested by the BWRSD and/or the Director of the Department of Revenue, and/or as required by the applicable section of the general laws.</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Auditors shall assure themselves that t</w:t>
      </w:r>
      <w:r>
        <w:rPr>
          <w:rFonts w:ascii="Garamond" w:eastAsia="Garamond" w:hAnsi="Garamond" w:cs="Garamond"/>
        </w:rPr>
        <w:t>he BWRSD Audit Committee is informed of each of the following:</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The auditor’s responsibility under generally accepted auditing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Significant accounting policies.</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Management judgments and accounting estimates.</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Significant audit adjustments.</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Other information in documents containing audited financial statements.</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Disagreements with management.</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Management consultation with other accountants.</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Major issues discussed with management prior to retention.</w:t>
      </w:r>
    </w:p>
    <w:p w:rsidR="00A22F56" w:rsidRDefault="00A22F56">
      <w:pPr>
        <w:tabs>
          <w:tab w:val="left" w:pos="720"/>
        </w:tabs>
        <w:ind w:left="0" w:hanging="2"/>
        <w:rPr>
          <w:rFonts w:ascii="Garamond" w:eastAsia="Garamond" w:hAnsi="Garamond" w:cs="Garamond"/>
        </w:rPr>
      </w:pPr>
    </w:p>
    <w:p w:rsidR="00A22F56" w:rsidRDefault="00506037">
      <w:pPr>
        <w:numPr>
          <w:ilvl w:val="0"/>
          <w:numId w:val="6"/>
        </w:numPr>
        <w:tabs>
          <w:tab w:val="left" w:pos="720"/>
        </w:tabs>
        <w:ind w:left="0" w:hanging="2"/>
        <w:rPr>
          <w:rFonts w:ascii="Garamond" w:eastAsia="Garamond" w:hAnsi="Garamond" w:cs="Garamond"/>
        </w:rPr>
      </w:pPr>
      <w:r>
        <w:rPr>
          <w:rFonts w:ascii="Garamond" w:eastAsia="Garamond" w:hAnsi="Garamond" w:cs="Garamond"/>
        </w:rPr>
        <w:t>Difficulties encountered in performing the audit.</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E.  Special Considerations</w:t>
      </w:r>
    </w:p>
    <w:p w:rsidR="00A22F56" w:rsidRDefault="00A22F56">
      <w:pPr>
        <w:ind w:left="0" w:hanging="2"/>
        <w:rPr>
          <w:rFonts w:ascii="Garamond" w:eastAsia="Garamond" w:hAnsi="Garamond" w:cs="Garamond"/>
          <w:shd w:val="clear" w:color="auto" w:fill="CFE2F3"/>
        </w:rPr>
      </w:pPr>
    </w:p>
    <w:p w:rsidR="00A22F56" w:rsidRDefault="00A22F56">
      <w:pPr>
        <w:ind w:left="0" w:hanging="2"/>
        <w:rPr>
          <w:rFonts w:ascii="Garamond" w:eastAsia="Garamond" w:hAnsi="Garamond" w:cs="Garamond"/>
        </w:rPr>
      </w:pPr>
    </w:p>
    <w:p w:rsidR="00A22F56" w:rsidRDefault="00506037">
      <w:pPr>
        <w:numPr>
          <w:ilvl w:val="0"/>
          <w:numId w:val="14"/>
        </w:numPr>
        <w:ind w:left="0" w:hanging="2"/>
        <w:rPr>
          <w:rFonts w:ascii="Garamond" w:eastAsia="Garamond" w:hAnsi="Garamond" w:cs="Garamond"/>
        </w:rPr>
      </w:pPr>
      <w:r>
        <w:rPr>
          <w:rFonts w:ascii="Garamond" w:eastAsia="Garamond" w:hAnsi="Garamond" w:cs="Garamond"/>
        </w:rPr>
        <w:t>The Bristol Warren Regional School District is a member of the Rhode Island Interlocal Risk Management Trust (The Trust), a risk-sharing collaborative formed for the purpo</w:t>
      </w:r>
      <w:r>
        <w:rPr>
          <w:rFonts w:ascii="Garamond" w:eastAsia="Garamond" w:hAnsi="Garamond" w:cs="Garamond"/>
        </w:rPr>
        <w:t xml:space="preserve">se of purchasing health, dental, workers compensation and general liability insurance. </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t xml:space="preserve">       </w:t>
      </w:r>
    </w:p>
    <w:p w:rsidR="00A22F56" w:rsidRDefault="00A22F56">
      <w:pPr>
        <w:tabs>
          <w:tab w:val="left" w:pos="720"/>
        </w:tabs>
        <w:ind w:left="0" w:hanging="2"/>
        <w:rPr>
          <w:rFonts w:ascii="Garamond" w:eastAsia="Garamond" w:hAnsi="Garamond" w:cs="Garamond"/>
        </w:rPr>
      </w:pPr>
    </w:p>
    <w:p w:rsidR="00A22F56" w:rsidRDefault="00506037">
      <w:pPr>
        <w:numPr>
          <w:ilvl w:val="0"/>
          <w:numId w:val="41"/>
        </w:numPr>
        <w:tabs>
          <w:tab w:val="left" w:pos="720"/>
        </w:tabs>
        <w:ind w:left="0" w:hanging="2"/>
        <w:rPr>
          <w:rFonts w:ascii="Garamond" w:eastAsia="Garamond" w:hAnsi="Garamond" w:cs="Garamond"/>
        </w:rPr>
      </w:pPr>
      <w:r>
        <w:rPr>
          <w:rFonts w:ascii="Garamond" w:eastAsia="Garamond" w:hAnsi="Garamond" w:cs="Garamond"/>
          <w:b/>
        </w:rPr>
        <w:t>Audit Documentation Retention and Access to Audit Documentation</w:t>
      </w:r>
    </w:p>
    <w:p w:rsidR="00A22F56" w:rsidRDefault="00506037">
      <w:pPr>
        <w:tabs>
          <w:tab w:val="left" w:pos="720"/>
        </w:tabs>
        <w:ind w:left="0" w:hanging="2"/>
        <w:rPr>
          <w:rFonts w:ascii="Garamond" w:eastAsia="Garamond" w:hAnsi="Garamond" w:cs="Garamond"/>
        </w:rPr>
      </w:pPr>
      <w:r>
        <w:rPr>
          <w:rFonts w:ascii="Garamond" w:eastAsia="Garamond" w:hAnsi="Garamond" w:cs="Garamond"/>
          <w:b/>
        </w:rPr>
        <w:tab/>
      </w:r>
    </w:p>
    <w:p w:rsidR="00A22F56" w:rsidRDefault="00506037">
      <w:pPr>
        <w:numPr>
          <w:ilvl w:val="0"/>
          <w:numId w:val="3"/>
        </w:numPr>
        <w:ind w:left="0" w:hanging="2"/>
        <w:rPr>
          <w:rFonts w:ascii="Garamond" w:eastAsia="Garamond" w:hAnsi="Garamond" w:cs="Garamond"/>
        </w:rPr>
      </w:pPr>
      <w:r>
        <w:rPr>
          <w:rFonts w:ascii="Garamond" w:eastAsia="Garamond" w:hAnsi="Garamond" w:cs="Garamond"/>
        </w:rPr>
        <w:t>As required by Section 45-10-4 of the RI General Laws, it is understood that the contract be</w:t>
      </w:r>
      <w:r>
        <w:rPr>
          <w:rFonts w:ascii="Garamond" w:eastAsia="Garamond" w:hAnsi="Garamond" w:cs="Garamond"/>
        </w:rPr>
        <w:t xml:space="preserve">tween the district and the audit firm shall require the auditor or the audit firm to release any and all information obtained in </w:t>
      </w:r>
      <w:r>
        <w:rPr>
          <w:rFonts w:ascii="Garamond" w:eastAsia="Garamond" w:hAnsi="Garamond" w:cs="Garamond"/>
        </w:rPr>
        <w:lastRenderedPageBreak/>
        <w:t>the course of the engagement to the Rhode Island State Auditor General (or his designee).  This information includes but is not</w:t>
      </w:r>
      <w:r>
        <w:rPr>
          <w:rFonts w:ascii="Garamond" w:eastAsia="Garamond" w:hAnsi="Garamond" w:cs="Garamond"/>
        </w:rPr>
        <w:t xml:space="preserve"> limited to financial data, analysis, audit documentation, and memorandum.  Audit documentation of the independent auditors shall be made available to the Auditor General (or his designee) upon request.  The request for such information by the Auditor Gene</w:t>
      </w:r>
      <w:r>
        <w:rPr>
          <w:rFonts w:ascii="Garamond" w:eastAsia="Garamond" w:hAnsi="Garamond" w:cs="Garamond"/>
        </w:rPr>
        <w:t>ral shall be responded to promptly.  Failure to provide this information shall constitute a breach of contract, and the contract shall give the Auditor General standing in a court of competent jurisdiction to enforce this provision.</w:t>
      </w:r>
    </w:p>
    <w:p w:rsidR="00A22F56" w:rsidRDefault="00A22F56">
      <w:pPr>
        <w:tabs>
          <w:tab w:val="left" w:pos="720"/>
        </w:tabs>
        <w:ind w:left="0" w:hanging="2"/>
        <w:rPr>
          <w:rFonts w:ascii="Garamond" w:eastAsia="Garamond" w:hAnsi="Garamond" w:cs="Garamond"/>
        </w:rPr>
      </w:pPr>
    </w:p>
    <w:p w:rsidR="00A22F56" w:rsidRDefault="00506037">
      <w:pPr>
        <w:numPr>
          <w:ilvl w:val="0"/>
          <w:numId w:val="3"/>
        </w:numPr>
        <w:ind w:left="0" w:hanging="2"/>
        <w:rPr>
          <w:rFonts w:ascii="Garamond" w:eastAsia="Garamond" w:hAnsi="Garamond" w:cs="Garamond"/>
        </w:rPr>
      </w:pPr>
      <w:r>
        <w:rPr>
          <w:rFonts w:ascii="Garamond" w:eastAsia="Garamond" w:hAnsi="Garamond" w:cs="Garamond"/>
        </w:rPr>
        <w:t>All audit documentation and reports must be retained, at the auditor’s expense, for a minimum of five (5) years, unless the firm is notified in writing by the BWRSD of the need to extend the retention period.  The auditors will be required to make copies o</w:t>
      </w:r>
      <w:r>
        <w:rPr>
          <w:rFonts w:ascii="Garamond" w:eastAsia="Garamond" w:hAnsi="Garamond" w:cs="Garamond"/>
        </w:rPr>
        <w:t>f all audit documentation requested by the Superintendent of Schools and/or Chief Finance Officer.</w:t>
      </w:r>
    </w:p>
    <w:p w:rsidR="00A22F56" w:rsidRDefault="00A22F56">
      <w:pPr>
        <w:tabs>
          <w:tab w:val="left" w:pos="720"/>
        </w:tabs>
        <w:ind w:left="0" w:hanging="2"/>
        <w:rPr>
          <w:rFonts w:ascii="Garamond" w:eastAsia="Garamond" w:hAnsi="Garamond" w:cs="Garamond"/>
        </w:rPr>
      </w:pPr>
    </w:p>
    <w:p w:rsidR="00A22F56" w:rsidRDefault="00506037">
      <w:pPr>
        <w:numPr>
          <w:ilvl w:val="0"/>
          <w:numId w:val="3"/>
        </w:numPr>
        <w:ind w:left="0" w:hanging="2"/>
        <w:rPr>
          <w:rFonts w:ascii="Garamond" w:eastAsia="Garamond" w:hAnsi="Garamond" w:cs="Garamond"/>
        </w:rPr>
      </w:pPr>
      <w:r>
        <w:rPr>
          <w:rFonts w:ascii="Garamond" w:eastAsia="Garamond" w:hAnsi="Garamond" w:cs="Garamond"/>
        </w:rPr>
        <w:t>In addition, the firm will respond to the reasonable inquiries of successor auditors and allow successor auditors to review working papers relating to matte</w:t>
      </w:r>
      <w:r>
        <w:rPr>
          <w:rFonts w:ascii="Garamond" w:eastAsia="Garamond" w:hAnsi="Garamond" w:cs="Garamond"/>
        </w:rPr>
        <w:t xml:space="preserve">rs of continuing accounting significance.  </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III. DESCRIPTION OF GOVERNMENT</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A.  Name and Telephone Number of Contact People</w:t>
      </w:r>
    </w:p>
    <w:p w:rsidR="00A22F56" w:rsidRDefault="00A22F56">
      <w:pPr>
        <w:tabs>
          <w:tab w:val="left" w:pos="720"/>
        </w:tabs>
        <w:ind w:left="0" w:hanging="2"/>
        <w:rPr>
          <w:rFonts w:ascii="Garamond" w:eastAsia="Garamond" w:hAnsi="Garamond" w:cs="Garamond"/>
        </w:rPr>
      </w:pPr>
    </w:p>
    <w:p w:rsidR="00A22F56" w:rsidRDefault="00506037">
      <w:pPr>
        <w:numPr>
          <w:ilvl w:val="0"/>
          <w:numId w:val="7"/>
        </w:numPr>
        <w:ind w:left="0" w:hanging="2"/>
        <w:rPr>
          <w:rFonts w:ascii="Garamond" w:eastAsia="Garamond" w:hAnsi="Garamond" w:cs="Garamond"/>
        </w:rPr>
      </w:pPr>
      <w:r>
        <w:rPr>
          <w:rFonts w:ascii="Garamond" w:eastAsia="Garamond" w:hAnsi="Garamond" w:cs="Garamond"/>
        </w:rPr>
        <w:t xml:space="preserve">Jonathan Brice, Ed. D. </w:t>
      </w:r>
      <w:r>
        <w:rPr>
          <w:rFonts w:ascii="Garamond" w:eastAsia="Garamond" w:hAnsi="Garamond" w:cs="Garamond"/>
        </w:rPr>
        <w:tab/>
      </w:r>
      <w:r>
        <w:rPr>
          <w:rFonts w:ascii="Garamond" w:eastAsia="Garamond" w:hAnsi="Garamond" w:cs="Garamond"/>
        </w:rPr>
        <w:tab/>
        <w:t>Superintendent</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 xml:space="preserve">             253-4000 ext. 5103</w:t>
      </w:r>
    </w:p>
    <w:p w:rsidR="00A22F56" w:rsidRDefault="00A22F56">
      <w:pPr>
        <w:tabs>
          <w:tab w:val="left" w:pos="720"/>
        </w:tabs>
        <w:ind w:left="0" w:hanging="2"/>
        <w:rPr>
          <w:rFonts w:ascii="Garamond" w:eastAsia="Garamond" w:hAnsi="Garamond" w:cs="Garamond"/>
        </w:rPr>
      </w:pPr>
    </w:p>
    <w:p w:rsidR="00A22F56" w:rsidRDefault="00506037">
      <w:pPr>
        <w:numPr>
          <w:ilvl w:val="0"/>
          <w:numId w:val="7"/>
        </w:numPr>
        <w:ind w:left="0" w:hanging="2"/>
        <w:rPr>
          <w:rFonts w:ascii="Garamond" w:eastAsia="Garamond" w:hAnsi="Garamond" w:cs="Garamond"/>
        </w:rPr>
      </w:pPr>
      <w:r>
        <w:rPr>
          <w:rFonts w:ascii="Garamond" w:eastAsia="Garamond" w:hAnsi="Garamond" w:cs="Garamond"/>
        </w:rPr>
        <w:t>Joel Harrington</w:t>
      </w:r>
      <w:r>
        <w:rPr>
          <w:rFonts w:ascii="Garamond" w:eastAsia="Garamond" w:hAnsi="Garamond" w:cs="Garamond"/>
        </w:rPr>
        <w:tab/>
        <w:t xml:space="preserve">  </w:t>
      </w:r>
      <w:r>
        <w:rPr>
          <w:rFonts w:ascii="Garamond" w:eastAsia="Garamond" w:hAnsi="Garamond" w:cs="Garamond"/>
        </w:rPr>
        <w:tab/>
        <w:t>Acting Business Manager</w:t>
      </w:r>
      <w:r>
        <w:rPr>
          <w:rFonts w:ascii="Garamond" w:eastAsia="Garamond" w:hAnsi="Garamond" w:cs="Garamond"/>
        </w:rPr>
        <w:tab/>
      </w:r>
      <w:r>
        <w:rPr>
          <w:rFonts w:ascii="Garamond" w:eastAsia="Garamond" w:hAnsi="Garamond" w:cs="Garamond"/>
        </w:rPr>
        <w:tab/>
      </w:r>
      <w:r>
        <w:rPr>
          <w:rFonts w:ascii="Garamond" w:eastAsia="Garamond" w:hAnsi="Garamond" w:cs="Garamond"/>
        </w:rPr>
        <w:tab/>
        <w:t xml:space="preserve">    </w:t>
      </w:r>
      <w:r>
        <w:rPr>
          <w:rFonts w:ascii="Garamond" w:eastAsia="Garamond" w:hAnsi="Garamond" w:cs="Garamond"/>
        </w:rPr>
        <w:t xml:space="preserve">          253-4000 ext. 5109</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B.  Background Information</w:t>
      </w:r>
    </w:p>
    <w:p w:rsidR="00A22F56" w:rsidRDefault="00A22F56">
      <w:pPr>
        <w:tabs>
          <w:tab w:val="left" w:pos="720"/>
        </w:tabs>
        <w:ind w:left="0" w:hanging="2"/>
        <w:rPr>
          <w:rFonts w:ascii="Garamond" w:eastAsia="Garamond" w:hAnsi="Garamond" w:cs="Garamond"/>
        </w:rPr>
      </w:pPr>
    </w:p>
    <w:p w:rsidR="00A22F56" w:rsidRDefault="00506037">
      <w:pPr>
        <w:numPr>
          <w:ilvl w:val="0"/>
          <w:numId w:val="54"/>
        </w:numPr>
        <w:ind w:left="0" w:hanging="2"/>
        <w:rPr>
          <w:rFonts w:ascii="Garamond" w:eastAsia="Garamond" w:hAnsi="Garamond" w:cs="Garamond"/>
        </w:rPr>
      </w:pPr>
      <w:r>
        <w:rPr>
          <w:rFonts w:ascii="Garamond" w:eastAsia="Garamond" w:hAnsi="Garamond" w:cs="Garamond"/>
        </w:rPr>
        <w:t>The BWRSD is a PreK-12 district serving the communities of Bristol and Warren.</w:t>
      </w:r>
    </w:p>
    <w:p w:rsidR="00A22F56" w:rsidRDefault="00A22F56">
      <w:pPr>
        <w:tabs>
          <w:tab w:val="left" w:pos="720"/>
        </w:tabs>
        <w:ind w:left="0" w:hanging="2"/>
        <w:rPr>
          <w:rFonts w:ascii="Garamond" w:eastAsia="Garamond" w:hAnsi="Garamond" w:cs="Garamond"/>
        </w:rPr>
      </w:pPr>
    </w:p>
    <w:p w:rsidR="00A22F56" w:rsidRDefault="00506037">
      <w:pPr>
        <w:numPr>
          <w:ilvl w:val="0"/>
          <w:numId w:val="54"/>
        </w:numPr>
        <w:ind w:left="0" w:hanging="2"/>
        <w:rPr>
          <w:rFonts w:ascii="Garamond" w:eastAsia="Garamond" w:hAnsi="Garamond" w:cs="Garamond"/>
        </w:rPr>
      </w:pPr>
      <w:r>
        <w:rPr>
          <w:rFonts w:ascii="Garamond" w:eastAsia="Garamond" w:hAnsi="Garamond" w:cs="Garamond"/>
        </w:rPr>
        <w:t>The accounting and financial reporting functions of the District are centralized within the Department of Adminis</w:t>
      </w:r>
      <w:r>
        <w:rPr>
          <w:rFonts w:ascii="Garamond" w:eastAsia="Garamond" w:hAnsi="Garamond" w:cs="Garamond"/>
        </w:rPr>
        <w:t>tration.</w:t>
      </w:r>
    </w:p>
    <w:p w:rsidR="00A22F56" w:rsidRDefault="00A22F56">
      <w:pPr>
        <w:tabs>
          <w:tab w:val="left" w:pos="720"/>
        </w:tabs>
        <w:ind w:left="0" w:hanging="2"/>
        <w:rPr>
          <w:rFonts w:ascii="Garamond" w:eastAsia="Garamond" w:hAnsi="Garamond" w:cs="Garamond"/>
        </w:rPr>
      </w:pPr>
    </w:p>
    <w:p w:rsidR="00A22F56" w:rsidRDefault="00A22F56">
      <w:pPr>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p>
    <w:p w:rsidR="00A22F56" w:rsidRDefault="00506037">
      <w:pPr>
        <w:tabs>
          <w:tab w:val="left" w:pos="720"/>
        </w:tabs>
        <w:ind w:left="0" w:hanging="2"/>
        <w:rPr>
          <w:rFonts w:ascii="Garamond" w:eastAsia="Garamond" w:hAnsi="Garamond" w:cs="Garamond"/>
          <w:u w:val="single"/>
        </w:rPr>
      </w:pPr>
      <w:r>
        <w:rPr>
          <w:rFonts w:ascii="Garamond" w:eastAsia="Garamond" w:hAnsi="Garamond" w:cs="Garamond"/>
          <w:b/>
        </w:rPr>
        <w:t>C.  Fund Structure</w:t>
      </w:r>
      <w:r>
        <w:rPr>
          <w:rFonts w:ascii="Garamond" w:eastAsia="Garamond" w:hAnsi="Garamond" w:cs="Garamond"/>
          <w:b/>
        </w:rPr>
        <w:tab/>
      </w:r>
      <w:r>
        <w:rPr>
          <w:rFonts w:ascii="Garamond" w:eastAsia="Garamond" w:hAnsi="Garamond" w:cs="Garamond"/>
          <w:b/>
        </w:rPr>
        <w:tab/>
      </w:r>
      <w:r>
        <w:rPr>
          <w:rFonts w:ascii="Garamond" w:eastAsia="Garamond" w:hAnsi="Garamond" w:cs="Garamond"/>
          <w:b/>
        </w:rPr>
        <w:tab/>
      </w:r>
      <w:r>
        <w:rPr>
          <w:rFonts w:ascii="Garamond" w:eastAsia="Garamond" w:hAnsi="Garamond" w:cs="Garamond"/>
          <w:b/>
        </w:rPr>
        <w:tab/>
      </w:r>
      <w:r>
        <w:rPr>
          <w:rFonts w:ascii="Garamond" w:eastAsia="Garamond" w:hAnsi="Garamond" w:cs="Garamond"/>
          <w:b/>
        </w:rPr>
        <w:tab/>
      </w:r>
      <w:r>
        <w:rPr>
          <w:rFonts w:ascii="Garamond" w:eastAsia="Garamond" w:hAnsi="Garamond" w:cs="Garamond"/>
          <w:b/>
        </w:rPr>
        <w:tab/>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b/>
          <w:u w:val="single"/>
        </w:rPr>
        <w:t>Fund Type</w:t>
      </w:r>
      <w:r>
        <w:rPr>
          <w:rFonts w:ascii="Garamond" w:eastAsia="Garamond" w:hAnsi="Garamond" w:cs="Garamond"/>
          <w:b/>
        </w:rPr>
        <w:tab/>
      </w:r>
      <w:r>
        <w:rPr>
          <w:rFonts w:ascii="Garamond" w:eastAsia="Garamond" w:hAnsi="Garamond" w:cs="Garamond"/>
          <w:b/>
        </w:rPr>
        <w:tab/>
      </w:r>
      <w:r>
        <w:rPr>
          <w:rFonts w:ascii="Garamond" w:eastAsia="Garamond" w:hAnsi="Garamond" w:cs="Garamond"/>
          <w:b/>
        </w:rPr>
        <w:tab/>
      </w:r>
      <w:r>
        <w:rPr>
          <w:rFonts w:ascii="Garamond" w:eastAsia="Garamond" w:hAnsi="Garamond" w:cs="Garamond"/>
          <w:b/>
        </w:rPr>
        <w:tab/>
      </w:r>
      <w:r>
        <w:rPr>
          <w:rFonts w:ascii="Garamond" w:eastAsia="Garamond" w:hAnsi="Garamond" w:cs="Garamond"/>
          <w:b/>
        </w:rPr>
        <w:tab/>
      </w:r>
      <w:r>
        <w:rPr>
          <w:rFonts w:ascii="Garamond" w:eastAsia="Garamond" w:hAnsi="Garamond" w:cs="Garamond"/>
          <w:b/>
          <w:u w:val="single"/>
        </w:rPr>
        <w:t>Number of Individual Funds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General Fund</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1</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Special Revenue Funds</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20 +/-</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Capital Project Funds</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1</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Fiduciary Funds</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6</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Capital Assets Fund</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1</w:t>
      </w:r>
    </w:p>
    <w:p w:rsidR="00A22F56" w:rsidRDefault="00506037">
      <w:pPr>
        <w:tabs>
          <w:tab w:val="left" w:pos="720"/>
        </w:tabs>
        <w:ind w:left="0" w:hanging="2"/>
        <w:rPr>
          <w:rFonts w:ascii="Garamond" w:eastAsia="Garamond" w:hAnsi="Garamond" w:cs="Garamond"/>
        </w:rPr>
      </w:pPr>
      <w:r>
        <w:tab/>
      </w:r>
      <w:r>
        <w:tab/>
      </w:r>
      <w:r>
        <w:rPr>
          <w:rFonts w:ascii="Garamond" w:eastAsia="Garamond" w:hAnsi="Garamond" w:cs="Garamond"/>
        </w:rPr>
        <w:t>Proprietary Funds</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6</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Debt Service Fund</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1</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D.  Budgetary Basis of Accounting</w:t>
      </w:r>
    </w:p>
    <w:p w:rsidR="00A22F56" w:rsidRDefault="00A22F56">
      <w:pPr>
        <w:tabs>
          <w:tab w:val="left" w:pos="720"/>
        </w:tabs>
        <w:ind w:left="0" w:hanging="2"/>
        <w:rPr>
          <w:rFonts w:ascii="Garamond" w:eastAsia="Garamond" w:hAnsi="Garamond" w:cs="Garamond"/>
        </w:rPr>
      </w:pPr>
    </w:p>
    <w:p w:rsidR="00A22F56" w:rsidRDefault="00506037">
      <w:pPr>
        <w:numPr>
          <w:ilvl w:val="0"/>
          <w:numId w:val="10"/>
        </w:numPr>
        <w:ind w:left="0" w:hanging="2"/>
        <w:rPr>
          <w:rFonts w:ascii="Garamond" w:eastAsia="Garamond" w:hAnsi="Garamond" w:cs="Garamond"/>
        </w:rPr>
      </w:pPr>
      <w:r>
        <w:rPr>
          <w:rFonts w:ascii="Garamond" w:eastAsia="Garamond" w:hAnsi="Garamond" w:cs="Garamond"/>
        </w:rPr>
        <w:t>The BWRSD prepares its budgets on a basis consistent with generally accepted accounting principles.  The use of the fund balance designated for operations is recognized as revenue on a budge</w:t>
      </w:r>
      <w:r>
        <w:rPr>
          <w:rFonts w:ascii="Garamond" w:eastAsia="Garamond" w:hAnsi="Garamond" w:cs="Garamond"/>
        </w:rPr>
        <w:t>tary basis.</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E.  Computer System</w:t>
      </w:r>
    </w:p>
    <w:p w:rsidR="00A22F56" w:rsidRDefault="00A22F56">
      <w:pPr>
        <w:tabs>
          <w:tab w:val="left" w:pos="720"/>
        </w:tabs>
        <w:ind w:left="0" w:hanging="2"/>
        <w:rPr>
          <w:rFonts w:ascii="Garamond" w:eastAsia="Garamond" w:hAnsi="Garamond" w:cs="Garamond"/>
        </w:rPr>
      </w:pPr>
    </w:p>
    <w:p w:rsidR="00A22F56" w:rsidRDefault="00506037">
      <w:pPr>
        <w:numPr>
          <w:ilvl w:val="0"/>
          <w:numId w:val="62"/>
        </w:numPr>
        <w:ind w:left="0" w:hanging="2"/>
        <w:rPr>
          <w:rFonts w:ascii="Garamond" w:eastAsia="Garamond" w:hAnsi="Garamond" w:cs="Garamond"/>
        </w:rPr>
      </w:pPr>
      <w:r>
        <w:rPr>
          <w:rFonts w:ascii="Garamond" w:eastAsia="Garamond" w:hAnsi="Garamond" w:cs="Garamond"/>
        </w:rPr>
        <w:t>The District uses software for payroll, general ledger and personnel from Tyler Technologies Infinity Visions.  All financial applications are processed through this system.  Student attendance reporting is processed t</w:t>
      </w:r>
      <w:r>
        <w:rPr>
          <w:rFonts w:ascii="Garamond" w:eastAsia="Garamond" w:hAnsi="Garamond" w:cs="Garamond"/>
        </w:rPr>
        <w:t>hrough the “Aspen” student information system.</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F.   Availability of Prior Audit Reports</w:t>
      </w:r>
    </w:p>
    <w:p w:rsidR="00A22F56" w:rsidRDefault="00A22F56">
      <w:pPr>
        <w:tabs>
          <w:tab w:val="left" w:pos="720"/>
        </w:tabs>
        <w:ind w:left="0" w:hanging="2"/>
        <w:rPr>
          <w:rFonts w:ascii="Garamond" w:eastAsia="Garamond" w:hAnsi="Garamond" w:cs="Garamond"/>
        </w:rPr>
      </w:pPr>
    </w:p>
    <w:p w:rsidR="00A22F56" w:rsidRDefault="00506037">
      <w:pPr>
        <w:numPr>
          <w:ilvl w:val="0"/>
          <w:numId w:val="49"/>
        </w:numPr>
        <w:ind w:left="0" w:hanging="2"/>
        <w:rPr>
          <w:rFonts w:ascii="Garamond" w:eastAsia="Garamond" w:hAnsi="Garamond" w:cs="Garamond"/>
        </w:rPr>
      </w:pPr>
      <w:r>
        <w:rPr>
          <w:rFonts w:ascii="Garamond" w:eastAsia="Garamond" w:hAnsi="Garamond" w:cs="Garamond"/>
        </w:rPr>
        <w:t>Interested bidders who wish to review prior years’ audit reports and management letters shall contact Jonathan Brice, Ed.D, Superintendent of Schools at 151 State Street, Bristol, RI  02809, (401) 253-4000 ext. 5109.</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G.  Time Requirements</w:t>
      </w:r>
    </w:p>
    <w:p w:rsidR="00A22F56" w:rsidRDefault="00A22F56">
      <w:pPr>
        <w:tabs>
          <w:tab w:val="left" w:pos="720"/>
        </w:tabs>
        <w:ind w:left="0" w:hanging="2"/>
        <w:rPr>
          <w:rFonts w:ascii="Garamond" w:eastAsia="Garamond" w:hAnsi="Garamond" w:cs="Garamond"/>
        </w:rPr>
      </w:pPr>
    </w:p>
    <w:p w:rsidR="00A22F56" w:rsidRDefault="00506037">
      <w:pPr>
        <w:numPr>
          <w:ilvl w:val="0"/>
          <w:numId w:val="43"/>
        </w:numPr>
        <w:ind w:left="0" w:hanging="2"/>
        <w:rPr>
          <w:rFonts w:ascii="Garamond" w:eastAsia="Garamond" w:hAnsi="Garamond" w:cs="Garamond"/>
        </w:rPr>
      </w:pPr>
      <w:r>
        <w:rPr>
          <w:rFonts w:ascii="Garamond" w:eastAsia="Garamond" w:hAnsi="Garamond" w:cs="Garamond"/>
        </w:rPr>
        <w:t>The followi</w:t>
      </w:r>
      <w:r>
        <w:rPr>
          <w:rFonts w:ascii="Garamond" w:eastAsia="Garamond" w:hAnsi="Garamond" w:cs="Garamond"/>
        </w:rPr>
        <w:t>ng is a list of key dates up to and including the date proposals are due to be submitted:</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b/>
        </w:rPr>
      </w:pPr>
      <w:r>
        <w:rPr>
          <w:rFonts w:ascii="Garamond" w:eastAsia="Garamond" w:hAnsi="Garamond" w:cs="Garamond"/>
        </w:rPr>
        <w:tab/>
      </w:r>
      <w:r>
        <w:rPr>
          <w:rFonts w:ascii="Garamond" w:eastAsia="Garamond" w:hAnsi="Garamond" w:cs="Garamond"/>
        </w:rPr>
        <w:tab/>
      </w:r>
      <w:r>
        <w:rPr>
          <w:rFonts w:ascii="Garamond" w:eastAsia="Garamond" w:hAnsi="Garamond" w:cs="Garamond"/>
        </w:rPr>
        <w:tab/>
        <w:t>Request for proposals issued</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b/>
        </w:rPr>
        <w:t>May 5, 2021</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b/>
        </w:rPr>
      </w:pPr>
      <w:r>
        <w:rPr>
          <w:rFonts w:ascii="Garamond" w:eastAsia="Garamond" w:hAnsi="Garamond" w:cs="Garamond"/>
        </w:rPr>
        <w:tab/>
      </w:r>
      <w:r>
        <w:rPr>
          <w:rFonts w:ascii="Garamond" w:eastAsia="Garamond" w:hAnsi="Garamond" w:cs="Garamond"/>
        </w:rPr>
        <w:tab/>
      </w:r>
      <w:r>
        <w:rPr>
          <w:rFonts w:ascii="Garamond" w:eastAsia="Garamond" w:hAnsi="Garamond" w:cs="Garamond"/>
        </w:rPr>
        <w:tab/>
        <w:t>Due date for proposals</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b/>
        </w:rPr>
        <w:t>May 24, 2021</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b/>
        </w:rPr>
      </w:pPr>
      <w:r>
        <w:rPr>
          <w:rFonts w:ascii="Garamond" w:eastAsia="Garamond" w:hAnsi="Garamond" w:cs="Garamond"/>
        </w:rPr>
        <w:tab/>
      </w:r>
      <w:r>
        <w:rPr>
          <w:rFonts w:ascii="Garamond" w:eastAsia="Garamond" w:hAnsi="Garamond" w:cs="Garamond"/>
        </w:rPr>
        <w:tab/>
      </w:r>
      <w:r>
        <w:rPr>
          <w:rFonts w:ascii="Garamond" w:eastAsia="Garamond" w:hAnsi="Garamond" w:cs="Garamond"/>
        </w:rPr>
        <w:tab/>
        <w:t>Selected firm notified by</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b/>
        </w:rPr>
        <w:t>June 1, 2021</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t>Entrance Conference by</w:t>
      </w:r>
      <w:r>
        <w:rPr>
          <w:rFonts w:ascii="Garamond" w:eastAsia="Garamond" w:hAnsi="Garamond" w:cs="Garamond"/>
        </w:rPr>
        <w:tab/>
      </w:r>
      <w:r>
        <w:rPr>
          <w:rFonts w:ascii="Garamond" w:eastAsia="Garamond" w:hAnsi="Garamond" w:cs="Garamond"/>
        </w:rPr>
        <w:tab/>
      </w:r>
      <w:r>
        <w:rPr>
          <w:rFonts w:ascii="Garamond" w:eastAsia="Garamond" w:hAnsi="Garamond" w:cs="Garamond"/>
        </w:rPr>
        <w:tab/>
        <w:t>To</w:t>
      </w:r>
      <w:r>
        <w:rPr>
          <w:rFonts w:ascii="Garamond" w:eastAsia="Garamond" w:hAnsi="Garamond" w:cs="Garamond"/>
        </w:rPr>
        <w:t xml:space="preserve"> Be Determined</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b/>
        </w:rPr>
      </w:pPr>
      <w:r>
        <w:rPr>
          <w:rFonts w:ascii="Garamond" w:eastAsia="Garamond" w:hAnsi="Garamond" w:cs="Garamond"/>
        </w:rPr>
        <w:tab/>
      </w:r>
      <w:r>
        <w:rPr>
          <w:rFonts w:ascii="Garamond" w:eastAsia="Garamond" w:hAnsi="Garamond" w:cs="Garamond"/>
        </w:rPr>
        <w:tab/>
      </w:r>
      <w:r>
        <w:rPr>
          <w:rFonts w:ascii="Garamond" w:eastAsia="Garamond" w:hAnsi="Garamond" w:cs="Garamond"/>
        </w:rPr>
        <w:tab/>
        <w:t>Date audit may commence</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b/>
        </w:rPr>
        <w:t>July 1, 2021</w:t>
      </w:r>
    </w:p>
    <w:p w:rsidR="00A22F56" w:rsidRDefault="00A22F56">
      <w:pPr>
        <w:tabs>
          <w:tab w:val="left" w:pos="720"/>
        </w:tabs>
        <w:ind w:left="0" w:hanging="2"/>
        <w:rPr>
          <w:rFonts w:ascii="Garamond" w:eastAsia="Garamond" w:hAnsi="Garamond" w:cs="Garamond"/>
        </w:rPr>
      </w:pPr>
    </w:p>
    <w:p w:rsidR="00A22F56" w:rsidRDefault="00506037">
      <w:pPr>
        <w:numPr>
          <w:ilvl w:val="0"/>
          <w:numId w:val="43"/>
        </w:numPr>
        <w:ind w:left="0" w:hanging="2"/>
        <w:rPr>
          <w:rFonts w:ascii="Garamond" w:eastAsia="Garamond" w:hAnsi="Garamond" w:cs="Garamond"/>
        </w:rPr>
      </w:pPr>
      <w:r>
        <w:rPr>
          <w:rFonts w:ascii="Garamond" w:eastAsia="Garamond" w:hAnsi="Garamond" w:cs="Garamond"/>
        </w:rPr>
        <w:t>Schedule for the 2021 Fiscal Year Audit (a similar schedule will be developed for audits of future years if the District exercises its option for additional audits.)</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 xml:space="preserve">The auditor will complete all </w:t>
      </w:r>
      <w:r>
        <w:rPr>
          <w:rFonts w:ascii="Garamond" w:eastAsia="Garamond" w:hAnsi="Garamond" w:cs="Garamond"/>
        </w:rPr>
        <w:t xml:space="preserve">interim work by </w:t>
      </w:r>
      <w:r>
        <w:rPr>
          <w:rFonts w:ascii="Garamond" w:eastAsia="Garamond" w:hAnsi="Garamond" w:cs="Garamond"/>
          <w:b/>
        </w:rPr>
        <w:t>August 31, 2021.</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An entrance conference with management and Audit Committee will be held by (To Be Determined).  Ten days prior to such a conference the Auditor will provide the District both a detailed audit plan and a list of schedules t</w:t>
      </w:r>
      <w:r>
        <w:rPr>
          <w:rFonts w:ascii="Garamond" w:eastAsia="Garamond" w:hAnsi="Garamond" w:cs="Garamond"/>
        </w:rPr>
        <w:t>o be prepared by the District.</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 xml:space="preserve">The auditor will complete all fieldwork by </w:t>
      </w:r>
      <w:r>
        <w:rPr>
          <w:rFonts w:ascii="Garamond" w:eastAsia="Garamond" w:hAnsi="Garamond" w:cs="Garamond"/>
          <w:b/>
        </w:rPr>
        <w:t>September 30, 2021.</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 xml:space="preserve">The auditor shall have drafts of the audit report(s) and recommendations to management available for review by the Superintendent of Schools and/or Chief Finance Officer by </w:t>
      </w:r>
      <w:r>
        <w:rPr>
          <w:rFonts w:ascii="Garamond" w:eastAsia="Garamond" w:hAnsi="Garamond" w:cs="Garamond"/>
          <w:b/>
        </w:rPr>
        <w:t>October 15, 2021.</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 xml:space="preserve">The Superintendent of Schools and/or Chief Finance Officer will </w:t>
      </w:r>
      <w:r>
        <w:rPr>
          <w:rFonts w:ascii="Garamond" w:eastAsia="Garamond" w:hAnsi="Garamond" w:cs="Garamond"/>
        </w:rPr>
        <w:t>complete their review of the draft as expeditiously as possible. It is not expected that this process should exceed one week.  During that period, the auditor shall be available for any meetings that may be necessary to discuss the audit reports.  Once all</w:t>
      </w:r>
      <w:r>
        <w:rPr>
          <w:rFonts w:ascii="Garamond" w:eastAsia="Garamond" w:hAnsi="Garamond" w:cs="Garamond"/>
        </w:rPr>
        <w:t xml:space="preserve"> issues for discussion are resolved, a draft report will be submitted to the Audit Committee for its review and recommendations.  The auditor should expect to meet with the Audit Committee during this period.  It is anticipated that this process will be co</w:t>
      </w:r>
      <w:r>
        <w:rPr>
          <w:rFonts w:ascii="Garamond" w:eastAsia="Garamond" w:hAnsi="Garamond" w:cs="Garamond"/>
        </w:rPr>
        <w:t xml:space="preserve">mpleted by </w:t>
      </w:r>
      <w:r>
        <w:rPr>
          <w:rFonts w:ascii="Garamond" w:eastAsia="Garamond" w:hAnsi="Garamond" w:cs="Garamond"/>
          <w:b/>
        </w:rPr>
        <w:t>November 30, 2021.</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 xml:space="preserve">The auditor shall provide a management letter upon completion of the audit to the Superintendent of Schools and/or Chief Finance Officer, the state Director of Revenue and the Auditor General.  The management </w:t>
      </w:r>
      <w:r>
        <w:rPr>
          <w:rFonts w:ascii="Garamond" w:eastAsia="Garamond" w:hAnsi="Garamond" w:cs="Garamond"/>
        </w:rPr>
        <w:lastRenderedPageBreak/>
        <w:t>letter shall inc</w:t>
      </w:r>
      <w:r>
        <w:rPr>
          <w:rFonts w:ascii="Garamond" w:eastAsia="Garamond" w:hAnsi="Garamond" w:cs="Garamond"/>
        </w:rPr>
        <w:t>lude comments, and/or recommendations beyond those included in the reports described above on such matters as:</w:t>
      </w:r>
    </w:p>
    <w:p w:rsidR="00A22F56" w:rsidRDefault="00A22F56">
      <w:pPr>
        <w:tabs>
          <w:tab w:val="left" w:pos="720"/>
        </w:tabs>
        <w:ind w:left="0" w:hanging="2"/>
        <w:rPr>
          <w:rFonts w:ascii="Garamond" w:eastAsia="Garamond" w:hAnsi="Garamond" w:cs="Garamond"/>
        </w:rPr>
      </w:pPr>
    </w:p>
    <w:p w:rsidR="00A22F56" w:rsidRDefault="00506037">
      <w:pPr>
        <w:numPr>
          <w:ilvl w:val="2"/>
          <w:numId w:val="43"/>
        </w:numPr>
        <w:tabs>
          <w:tab w:val="left" w:pos="720"/>
        </w:tabs>
        <w:ind w:left="0" w:hanging="2"/>
        <w:rPr>
          <w:rFonts w:ascii="Garamond" w:eastAsia="Garamond" w:hAnsi="Garamond" w:cs="Garamond"/>
        </w:rPr>
      </w:pPr>
      <w:r>
        <w:rPr>
          <w:rFonts w:ascii="Garamond" w:eastAsia="Garamond" w:hAnsi="Garamond" w:cs="Garamond"/>
        </w:rPr>
        <w:t>Policies, procedures and practices employed by the District.</w:t>
      </w:r>
    </w:p>
    <w:p w:rsidR="00A22F56" w:rsidRDefault="00A22F56">
      <w:pPr>
        <w:tabs>
          <w:tab w:val="left" w:pos="720"/>
        </w:tabs>
        <w:ind w:left="0" w:hanging="2"/>
        <w:rPr>
          <w:rFonts w:ascii="Garamond" w:eastAsia="Garamond" w:hAnsi="Garamond" w:cs="Garamond"/>
        </w:rPr>
      </w:pPr>
    </w:p>
    <w:p w:rsidR="00A22F56" w:rsidRDefault="00506037">
      <w:pPr>
        <w:numPr>
          <w:ilvl w:val="2"/>
          <w:numId w:val="43"/>
        </w:numPr>
        <w:tabs>
          <w:tab w:val="left" w:pos="720"/>
        </w:tabs>
        <w:ind w:left="0" w:hanging="2"/>
        <w:rPr>
          <w:rFonts w:ascii="Garamond" w:eastAsia="Garamond" w:hAnsi="Garamond" w:cs="Garamond"/>
        </w:rPr>
      </w:pPr>
      <w:r>
        <w:rPr>
          <w:rFonts w:ascii="Garamond" w:eastAsia="Garamond" w:hAnsi="Garamond" w:cs="Garamond"/>
        </w:rPr>
        <w:t>Control deficiencies that are not significant deficiencies or material weaknesses,</w:t>
      </w:r>
    </w:p>
    <w:p w:rsidR="00A22F56" w:rsidRDefault="00A22F56">
      <w:pPr>
        <w:tabs>
          <w:tab w:val="left" w:pos="720"/>
        </w:tabs>
        <w:ind w:left="0" w:hanging="2"/>
        <w:rPr>
          <w:rFonts w:ascii="Garamond" w:eastAsia="Garamond" w:hAnsi="Garamond" w:cs="Garamond"/>
        </w:rPr>
      </w:pPr>
    </w:p>
    <w:p w:rsidR="00A22F56" w:rsidRDefault="00506037">
      <w:pPr>
        <w:numPr>
          <w:ilvl w:val="2"/>
          <w:numId w:val="43"/>
        </w:numPr>
        <w:tabs>
          <w:tab w:val="left" w:pos="720"/>
        </w:tabs>
        <w:ind w:left="0" w:hanging="2"/>
        <w:rPr>
          <w:rFonts w:ascii="Garamond" w:eastAsia="Garamond" w:hAnsi="Garamond" w:cs="Garamond"/>
        </w:rPr>
      </w:pPr>
      <w:r>
        <w:rPr>
          <w:rFonts w:ascii="Garamond" w:eastAsia="Garamond" w:hAnsi="Garamond" w:cs="Garamond"/>
        </w:rPr>
        <w:t>Use of resources to provide a governmental service in a reasonable, judicious, economical, and efficient manner.</w:t>
      </w:r>
    </w:p>
    <w:p w:rsidR="00A22F56" w:rsidRDefault="00A22F56">
      <w:pPr>
        <w:tabs>
          <w:tab w:val="left" w:pos="720"/>
        </w:tabs>
        <w:ind w:left="0" w:hanging="2"/>
        <w:rPr>
          <w:rFonts w:ascii="Garamond" w:eastAsia="Garamond" w:hAnsi="Garamond" w:cs="Garamond"/>
        </w:rPr>
      </w:pPr>
    </w:p>
    <w:p w:rsidR="00A22F56" w:rsidRDefault="00506037">
      <w:pPr>
        <w:numPr>
          <w:ilvl w:val="2"/>
          <w:numId w:val="43"/>
        </w:numPr>
        <w:tabs>
          <w:tab w:val="left" w:pos="720"/>
        </w:tabs>
        <w:ind w:left="0" w:hanging="2"/>
        <w:rPr>
          <w:rFonts w:ascii="Garamond" w:eastAsia="Garamond" w:hAnsi="Garamond" w:cs="Garamond"/>
        </w:rPr>
      </w:pPr>
      <w:r>
        <w:rPr>
          <w:rFonts w:ascii="Garamond" w:eastAsia="Garamond" w:hAnsi="Garamond" w:cs="Garamond"/>
        </w:rPr>
        <w:t>Compliance with state laws pertaining to the District and with rules and regulations established by the District.</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The final report and thir</w:t>
      </w:r>
      <w:r>
        <w:rPr>
          <w:rFonts w:ascii="Garamond" w:eastAsia="Garamond" w:hAnsi="Garamond" w:cs="Garamond"/>
        </w:rPr>
        <w:t xml:space="preserve">ty signed copies shall be delivered to the Superintendent of Schools and/or Chief Finance Officer at 151 State Street, Bristol, RI  02809, by </w:t>
      </w:r>
      <w:r>
        <w:rPr>
          <w:rFonts w:ascii="Garamond" w:eastAsia="Garamond" w:hAnsi="Garamond" w:cs="Garamond"/>
          <w:b/>
        </w:rPr>
        <w:t>December 31, 2021.</w:t>
      </w:r>
    </w:p>
    <w:p w:rsidR="00A22F56" w:rsidRDefault="00A22F56">
      <w:pPr>
        <w:tabs>
          <w:tab w:val="left" w:pos="720"/>
        </w:tabs>
        <w:ind w:left="0" w:hanging="2"/>
        <w:rPr>
          <w:rFonts w:ascii="Garamond" w:eastAsia="Garamond" w:hAnsi="Garamond" w:cs="Garamond"/>
        </w:rPr>
      </w:pPr>
    </w:p>
    <w:p w:rsidR="00A22F56" w:rsidRDefault="00506037">
      <w:pPr>
        <w:numPr>
          <w:ilvl w:val="1"/>
          <w:numId w:val="43"/>
        </w:numPr>
        <w:tabs>
          <w:tab w:val="left" w:pos="720"/>
        </w:tabs>
        <w:ind w:left="0" w:hanging="2"/>
        <w:rPr>
          <w:rFonts w:ascii="Garamond" w:eastAsia="Garamond" w:hAnsi="Garamond" w:cs="Garamond"/>
        </w:rPr>
      </w:pPr>
      <w:r>
        <w:rPr>
          <w:rFonts w:ascii="Garamond" w:eastAsia="Garamond" w:hAnsi="Garamond" w:cs="Garamond"/>
        </w:rPr>
        <w:t>An annual audit shall be completed and final audit reports (inclusive of all audit communicati</w:t>
      </w:r>
      <w:r>
        <w:rPr>
          <w:rFonts w:ascii="Garamond" w:eastAsia="Garamond" w:hAnsi="Garamond" w:cs="Garamond"/>
        </w:rPr>
        <w:t>ons) related to the financial statements shall be delivered to the district, State Auditor General and State Director of Revenue within six months after the close of the fiscal year for each year (as required by Section 45-10-5 of the General Laws.) A copy</w:t>
      </w:r>
      <w:r>
        <w:rPr>
          <w:rFonts w:ascii="Garamond" w:eastAsia="Garamond" w:hAnsi="Garamond" w:cs="Garamond"/>
        </w:rPr>
        <w:t xml:space="preserve"> of the final written correspondence, </w:t>
      </w:r>
      <w:r>
        <w:rPr>
          <w:rFonts w:ascii="Garamond" w:eastAsia="Garamond" w:hAnsi="Garamond" w:cs="Garamond"/>
          <w:i/>
          <w:u w:val="single"/>
        </w:rPr>
        <w:t>The Auditor’s Communication with Those Charged with Governance</w:t>
      </w:r>
      <w:r>
        <w:rPr>
          <w:rFonts w:ascii="Garamond" w:eastAsia="Garamond" w:hAnsi="Garamond" w:cs="Garamond"/>
        </w:rPr>
        <w:t>, shall also be delivered to the State Auditor General</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IV. ASSISTANCE TO BE PROVIDED TO THE AUDITOR AND REPORT PREPARATION</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A.  Finance Department and</w:t>
      </w:r>
      <w:r>
        <w:rPr>
          <w:rFonts w:ascii="Garamond" w:eastAsia="Garamond" w:hAnsi="Garamond" w:cs="Garamond"/>
          <w:b/>
        </w:rPr>
        <w:t xml:space="preserve"> Clerical Assistance</w:t>
      </w:r>
    </w:p>
    <w:p w:rsidR="00A22F56" w:rsidRDefault="00A22F56">
      <w:pPr>
        <w:tabs>
          <w:tab w:val="left" w:pos="720"/>
        </w:tabs>
        <w:ind w:left="0" w:hanging="2"/>
        <w:rPr>
          <w:rFonts w:ascii="Garamond" w:eastAsia="Garamond" w:hAnsi="Garamond" w:cs="Garamond"/>
        </w:rPr>
      </w:pPr>
    </w:p>
    <w:p w:rsidR="00A22F56" w:rsidRDefault="00506037">
      <w:pPr>
        <w:numPr>
          <w:ilvl w:val="0"/>
          <w:numId w:val="57"/>
        </w:numPr>
        <w:ind w:left="0" w:hanging="2"/>
        <w:rPr>
          <w:rFonts w:ascii="Garamond" w:eastAsia="Garamond" w:hAnsi="Garamond" w:cs="Garamond"/>
        </w:rPr>
      </w:pPr>
      <w:r>
        <w:rPr>
          <w:rFonts w:ascii="Garamond" w:eastAsia="Garamond" w:hAnsi="Garamond" w:cs="Garamond"/>
        </w:rPr>
        <w:t xml:space="preserve">The accounting department staff and responsible management personnel will be available during the audit to assist the firm by providing information, documentation and explanations.  </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B.  Electronic Data Processing Assistance</w:t>
      </w:r>
    </w:p>
    <w:p w:rsidR="00A22F56" w:rsidRDefault="00A22F56">
      <w:pPr>
        <w:tabs>
          <w:tab w:val="left" w:pos="720"/>
        </w:tabs>
        <w:ind w:left="0" w:hanging="2"/>
        <w:rPr>
          <w:rFonts w:ascii="Garamond" w:eastAsia="Garamond" w:hAnsi="Garamond" w:cs="Garamond"/>
        </w:rPr>
      </w:pPr>
    </w:p>
    <w:p w:rsidR="00A22F56" w:rsidRDefault="00506037">
      <w:pPr>
        <w:numPr>
          <w:ilvl w:val="0"/>
          <w:numId w:val="51"/>
        </w:numPr>
        <w:ind w:left="0" w:hanging="2"/>
        <w:rPr>
          <w:rFonts w:ascii="Garamond" w:eastAsia="Garamond" w:hAnsi="Garamond" w:cs="Garamond"/>
        </w:rPr>
      </w:pPr>
      <w:r>
        <w:rPr>
          <w:rFonts w:ascii="Garamond" w:eastAsia="Garamond" w:hAnsi="Garamond" w:cs="Garamond"/>
        </w:rPr>
        <w:t>The Director of Technology will be available to provide systems documentation and explanations.</w:t>
      </w:r>
    </w:p>
    <w:p w:rsidR="00A22F56" w:rsidRDefault="00A22F56">
      <w:pPr>
        <w:tabs>
          <w:tab w:val="left" w:pos="720"/>
        </w:tabs>
        <w:ind w:left="0" w:hanging="2"/>
        <w:rPr>
          <w:rFonts w:ascii="Garamond" w:eastAsia="Garamond" w:hAnsi="Garamond" w:cs="Garamond"/>
        </w:rPr>
      </w:pPr>
    </w:p>
    <w:p w:rsidR="00A22F56" w:rsidRDefault="00506037">
      <w:pPr>
        <w:numPr>
          <w:ilvl w:val="0"/>
          <w:numId w:val="51"/>
        </w:numPr>
        <w:ind w:left="0" w:hanging="2"/>
        <w:rPr>
          <w:rFonts w:ascii="Garamond" w:eastAsia="Garamond" w:hAnsi="Garamond" w:cs="Garamond"/>
        </w:rPr>
      </w:pPr>
      <w:r>
        <w:rPr>
          <w:rFonts w:ascii="Garamond" w:eastAsia="Garamond" w:hAnsi="Garamond" w:cs="Garamond"/>
        </w:rPr>
        <w:t>Statements and schedules will be provided by the District.</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p>
    <w:p w:rsidR="00A22F56" w:rsidRDefault="00506037">
      <w:pPr>
        <w:tabs>
          <w:tab w:val="left" w:pos="720"/>
        </w:tabs>
        <w:ind w:left="0" w:hanging="2"/>
        <w:rPr>
          <w:rFonts w:ascii="Garamond" w:eastAsia="Garamond" w:hAnsi="Garamond" w:cs="Garamond"/>
        </w:rPr>
      </w:pPr>
      <w:r>
        <w:rPr>
          <w:rFonts w:ascii="Garamond" w:eastAsia="Garamond" w:hAnsi="Garamond" w:cs="Garamond"/>
          <w:b/>
        </w:rPr>
        <w:t>C.  Work Area, Telephones and Photocopying</w:t>
      </w:r>
    </w:p>
    <w:p w:rsidR="00A22F56" w:rsidRDefault="00A22F56">
      <w:pPr>
        <w:tabs>
          <w:tab w:val="left" w:pos="720"/>
        </w:tabs>
        <w:ind w:left="0" w:hanging="2"/>
        <w:rPr>
          <w:rFonts w:ascii="Garamond" w:eastAsia="Garamond" w:hAnsi="Garamond" w:cs="Garamond"/>
        </w:rPr>
      </w:pPr>
    </w:p>
    <w:p w:rsidR="00A22F56" w:rsidRDefault="00506037">
      <w:pPr>
        <w:numPr>
          <w:ilvl w:val="0"/>
          <w:numId w:val="17"/>
        </w:numPr>
        <w:ind w:left="0" w:hanging="2"/>
        <w:rPr>
          <w:rFonts w:ascii="Garamond" w:eastAsia="Garamond" w:hAnsi="Garamond" w:cs="Garamond"/>
        </w:rPr>
      </w:pPr>
      <w:r>
        <w:rPr>
          <w:rFonts w:ascii="Garamond" w:eastAsia="Garamond" w:hAnsi="Garamond" w:cs="Garamond"/>
        </w:rPr>
        <w:t>The District will provide the auditor with reasona</w:t>
      </w:r>
      <w:r>
        <w:rPr>
          <w:rFonts w:ascii="Garamond" w:eastAsia="Garamond" w:hAnsi="Garamond" w:cs="Garamond"/>
        </w:rPr>
        <w:t>ble work space, desks and chairs.  The auditor will also be provided with access to telephone lines and photocopying facilities.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D.  Report Preparation</w:t>
      </w:r>
    </w:p>
    <w:p w:rsidR="00A22F56" w:rsidRDefault="00A22F56">
      <w:pPr>
        <w:tabs>
          <w:tab w:val="left" w:pos="720"/>
        </w:tabs>
        <w:ind w:left="0" w:hanging="2"/>
        <w:rPr>
          <w:rFonts w:ascii="Garamond" w:eastAsia="Garamond" w:hAnsi="Garamond" w:cs="Garamond"/>
        </w:rPr>
      </w:pPr>
    </w:p>
    <w:p w:rsidR="00A22F56" w:rsidRDefault="00506037">
      <w:pPr>
        <w:numPr>
          <w:ilvl w:val="0"/>
          <w:numId w:val="53"/>
        </w:numPr>
        <w:ind w:left="0" w:hanging="2"/>
        <w:rPr>
          <w:rFonts w:ascii="Garamond" w:eastAsia="Garamond" w:hAnsi="Garamond" w:cs="Garamond"/>
        </w:rPr>
      </w:pPr>
      <w:r>
        <w:rPr>
          <w:rFonts w:ascii="Garamond" w:eastAsia="Garamond" w:hAnsi="Garamond" w:cs="Garamond"/>
        </w:rPr>
        <w:t xml:space="preserve">Report preparation, based on trial balances as prepared and provided by the District, editing and </w:t>
      </w:r>
      <w:r>
        <w:rPr>
          <w:rFonts w:ascii="Garamond" w:eastAsia="Garamond" w:hAnsi="Garamond" w:cs="Garamond"/>
        </w:rPr>
        <w:t xml:space="preserve">printing shall be the responsibility of the auditor.  </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V.  PROPOSAL REQUIREMENTS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A.  General Requirements</w:t>
      </w:r>
    </w:p>
    <w:p w:rsidR="00A22F56" w:rsidRDefault="00A22F56">
      <w:pPr>
        <w:tabs>
          <w:tab w:val="left" w:pos="720"/>
        </w:tabs>
        <w:ind w:left="0" w:hanging="2"/>
      </w:pPr>
    </w:p>
    <w:p w:rsidR="00A22F56" w:rsidRDefault="00506037">
      <w:pPr>
        <w:numPr>
          <w:ilvl w:val="0"/>
          <w:numId w:val="55"/>
        </w:numPr>
        <w:ind w:left="0" w:hanging="2"/>
        <w:rPr>
          <w:rFonts w:ascii="Garamond" w:eastAsia="Garamond" w:hAnsi="Garamond" w:cs="Garamond"/>
        </w:rPr>
      </w:pPr>
      <w:r>
        <w:rPr>
          <w:rFonts w:ascii="Garamond" w:eastAsia="Garamond" w:hAnsi="Garamond" w:cs="Garamond"/>
        </w:rPr>
        <w:t>Inquires</w:t>
      </w:r>
    </w:p>
    <w:p w:rsidR="00A22F56" w:rsidRDefault="00506037">
      <w:pPr>
        <w:numPr>
          <w:ilvl w:val="0"/>
          <w:numId w:val="18"/>
        </w:numPr>
        <w:tabs>
          <w:tab w:val="left" w:pos="720"/>
        </w:tabs>
        <w:ind w:left="0" w:hanging="2"/>
        <w:rPr>
          <w:rFonts w:ascii="Garamond" w:eastAsia="Garamond" w:hAnsi="Garamond" w:cs="Garamond"/>
        </w:rPr>
      </w:pPr>
      <w:r>
        <w:rPr>
          <w:rFonts w:ascii="Garamond" w:eastAsia="Garamond" w:hAnsi="Garamond" w:cs="Garamond"/>
        </w:rPr>
        <w:lastRenderedPageBreak/>
        <w:t>Inquiries concerning the request for proposals and the subject of the request for proposals must be made to:</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Jonathan Brice, Ed.D</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Superintendent of Schools</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151 State Street</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Bristol, RI  02809</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(401) 253-4000 Ext. 5109</w:t>
      </w:r>
    </w:p>
    <w:p w:rsidR="00A22F56" w:rsidRDefault="00A22F56">
      <w:pPr>
        <w:tabs>
          <w:tab w:val="left" w:pos="720"/>
        </w:tabs>
        <w:ind w:left="0" w:hanging="2"/>
        <w:rPr>
          <w:rFonts w:ascii="Garamond" w:eastAsia="Garamond" w:hAnsi="Garamond" w:cs="Garamond"/>
        </w:rPr>
      </w:pPr>
    </w:p>
    <w:p w:rsidR="00A22F56" w:rsidRDefault="00506037">
      <w:pPr>
        <w:numPr>
          <w:ilvl w:val="0"/>
          <w:numId w:val="55"/>
        </w:numPr>
        <w:ind w:left="0" w:hanging="2"/>
        <w:rPr>
          <w:rFonts w:ascii="Garamond" w:eastAsia="Garamond" w:hAnsi="Garamond" w:cs="Garamond"/>
        </w:rPr>
      </w:pPr>
      <w:r>
        <w:rPr>
          <w:rFonts w:ascii="Garamond" w:eastAsia="Garamond" w:hAnsi="Garamond" w:cs="Garamond"/>
        </w:rPr>
        <w:t>Submission of Proposals</w:t>
      </w:r>
    </w:p>
    <w:p w:rsidR="00A22F56" w:rsidRDefault="00A22F56">
      <w:pPr>
        <w:tabs>
          <w:tab w:val="left" w:pos="720"/>
        </w:tabs>
        <w:ind w:left="0" w:hanging="2"/>
        <w:rPr>
          <w:rFonts w:ascii="Garamond" w:eastAsia="Garamond" w:hAnsi="Garamond" w:cs="Garamond"/>
        </w:rPr>
      </w:pPr>
    </w:p>
    <w:p w:rsidR="00A22F56" w:rsidRDefault="00506037">
      <w:pPr>
        <w:numPr>
          <w:ilvl w:val="0"/>
          <w:numId w:val="59"/>
        </w:numPr>
        <w:tabs>
          <w:tab w:val="left" w:pos="720"/>
        </w:tabs>
        <w:ind w:left="0" w:hanging="2"/>
        <w:rPr>
          <w:rFonts w:ascii="Garamond" w:eastAsia="Garamond" w:hAnsi="Garamond" w:cs="Garamond"/>
        </w:rPr>
      </w:pPr>
      <w:r>
        <w:rPr>
          <w:rFonts w:ascii="Garamond" w:eastAsia="Garamond" w:hAnsi="Garamond" w:cs="Garamond"/>
        </w:rPr>
        <w:t xml:space="preserve">The following material is required to be received by </w:t>
      </w:r>
      <w:r>
        <w:rPr>
          <w:rFonts w:ascii="Garamond" w:eastAsia="Garamond" w:hAnsi="Garamond" w:cs="Garamond"/>
          <w:b/>
        </w:rPr>
        <w:t>3:30 PM, May 24, 2021</w:t>
      </w:r>
      <w:r>
        <w:rPr>
          <w:rFonts w:ascii="Garamond" w:eastAsia="Garamond" w:hAnsi="Garamond" w:cs="Garamond"/>
        </w:rPr>
        <w:t xml:space="preserve"> for a proposing firm to</w:t>
      </w:r>
      <w:r>
        <w:rPr>
          <w:rFonts w:ascii="Garamond" w:eastAsia="Garamond" w:hAnsi="Garamond" w:cs="Garamond"/>
        </w:rPr>
        <w:t xml:space="preserve"> be considered:</w:t>
      </w:r>
    </w:p>
    <w:p w:rsidR="00A22F56" w:rsidRDefault="00A22F56">
      <w:pPr>
        <w:tabs>
          <w:tab w:val="left" w:pos="720"/>
        </w:tabs>
        <w:ind w:left="0" w:hanging="2"/>
        <w:rPr>
          <w:rFonts w:ascii="Garamond" w:eastAsia="Garamond" w:hAnsi="Garamond" w:cs="Garamond"/>
        </w:rPr>
      </w:pPr>
    </w:p>
    <w:p w:rsidR="00A22F56" w:rsidRDefault="00506037">
      <w:pPr>
        <w:numPr>
          <w:ilvl w:val="1"/>
          <w:numId w:val="59"/>
        </w:numPr>
        <w:tabs>
          <w:tab w:val="left" w:pos="720"/>
        </w:tabs>
        <w:ind w:left="0" w:hanging="2"/>
        <w:rPr>
          <w:rFonts w:ascii="Garamond" w:eastAsia="Garamond" w:hAnsi="Garamond" w:cs="Garamond"/>
        </w:rPr>
      </w:pPr>
      <w:r>
        <w:rPr>
          <w:rFonts w:ascii="Garamond" w:eastAsia="Garamond" w:hAnsi="Garamond" w:cs="Garamond"/>
        </w:rPr>
        <w:t>A master copy (so marked) of a Technical Proposal and three (3) copies to include the following:</w:t>
      </w:r>
    </w:p>
    <w:p w:rsidR="00A22F56" w:rsidRDefault="00A22F56">
      <w:pPr>
        <w:tabs>
          <w:tab w:val="left" w:pos="720"/>
        </w:tabs>
        <w:ind w:left="0" w:hanging="2"/>
        <w:rPr>
          <w:rFonts w:ascii="Garamond" w:eastAsia="Garamond" w:hAnsi="Garamond" w:cs="Garamond"/>
        </w:rPr>
      </w:pPr>
    </w:p>
    <w:p w:rsidR="00A22F56" w:rsidRDefault="00506037">
      <w:pPr>
        <w:numPr>
          <w:ilvl w:val="2"/>
          <w:numId w:val="59"/>
        </w:numPr>
        <w:tabs>
          <w:tab w:val="left" w:pos="720"/>
        </w:tabs>
        <w:ind w:left="0" w:hanging="2"/>
        <w:rPr>
          <w:rFonts w:ascii="Garamond" w:eastAsia="Garamond" w:hAnsi="Garamond" w:cs="Garamond"/>
        </w:rPr>
      </w:pPr>
      <w:r>
        <w:rPr>
          <w:rFonts w:ascii="Garamond" w:eastAsia="Garamond" w:hAnsi="Garamond" w:cs="Garamond"/>
        </w:rPr>
        <w:t>Title page showing the request for proposals’ subject; the firm’s name, address and telephone number of a contact person; and date of the pro</w:t>
      </w:r>
      <w:r>
        <w:rPr>
          <w:rFonts w:ascii="Garamond" w:eastAsia="Garamond" w:hAnsi="Garamond" w:cs="Garamond"/>
        </w:rPr>
        <w:t>posal.</w:t>
      </w:r>
    </w:p>
    <w:p w:rsidR="00A22F56" w:rsidRDefault="00A22F56">
      <w:pPr>
        <w:tabs>
          <w:tab w:val="left" w:pos="720"/>
        </w:tabs>
        <w:ind w:left="0" w:hanging="2"/>
        <w:rPr>
          <w:rFonts w:ascii="Garamond" w:eastAsia="Garamond" w:hAnsi="Garamond" w:cs="Garamond"/>
        </w:rPr>
      </w:pPr>
    </w:p>
    <w:p w:rsidR="00A22F56" w:rsidRDefault="00506037">
      <w:pPr>
        <w:numPr>
          <w:ilvl w:val="2"/>
          <w:numId w:val="59"/>
        </w:numPr>
        <w:tabs>
          <w:tab w:val="left" w:pos="720"/>
        </w:tabs>
        <w:ind w:left="0" w:hanging="2"/>
        <w:rPr>
          <w:rFonts w:ascii="Garamond" w:eastAsia="Garamond" w:hAnsi="Garamond" w:cs="Garamond"/>
        </w:rPr>
      </w:pPr>
      <w:r>
        <w:rPr>
          <w:rFonts w:ascii="Garamond" w:eastAsia="Garamond" w:hAnsi="Garamond" w:cs="Garamond"/>
        </w:rPr>
        <w:t>Table of Contents.</w:t>
      </w:r>
    </w:p>
    <w:p w:rsidR="00A22F56" w:rsidRDefault="00A22F56">
      <w:pPr>
        <w:tabs>
          <w:tab w:val="left" w:pos="720"/>
        </w:tabs>
        <w:ind w:left="0" w:hanging="2"/>
        <w:rPr>
          <w:rFonts w:ascii="Garamond" w:eastAsia="Garamond" w:hAnsi="Garamond" w:cs="Garamond"/>
        </w:rPr>
      </w:pPr>
    </w:p>
    <w:p w:rsidR="00A22F56" w:rsidRDefault="00506037">
      <w:pPr>
        <w:numPr>
          <w:ilvl w:val="2"/>
          <w:numId w:val="59"/>
        </w:numPr>
        <w:tabs>
          <w:tab w:val="left" w:pos="720"/>
        </w:tabs>
        <w:ind w:left="0" w:hanging="2"/>
        <w:rPr>
          <w:rFonts w:ascii="Garamond" w:eastAsia="Garamond" w:hAnsi="Garamond" w:cs="Garamond"/>
        </w:rPr>
      </w:pPr>
      <w:r>
        <w:rPr>
          <w:rFonts w:ascii="Garamond" w:eastAsia="Garamond" w:hAnsi="Garamond" w:cs="Garamond"/>
        </w:rPr>
        <w:t>A signed letter of transmittal briefly stating the proposer’s understanding of the work to be done, the commitment to perform the work within the time period, a statement of why the firm believes itself to be the best qualified to perform the engagement an</w:t>
      </w:r>
      <w:r>
        <w:rPr>
          <w:rFonts w:ascii="Garamond" w:eastAsia="Garamond" w:hAnsi="Garamond" w:cs="Garamond"/>
        </w:rPr>
        <w:t>d a statement that the proposal is a firm and irrevocable offer for a three year period.</w:t>
      </w:r>
    </w:p>
    <w:p w:rsidR="00A22F56" w:rsidRDefault="00A22F56">
      <w:pPr>
        <w:tabs>
          <w:tab w:val="left" w:pos="720"/>
        </w:tabs>
        <w:ind w:left="0" w:hanging="2"/>
        <w:rPr>
          <w:rFonts w:ascii="Garamond" w:eastAsia="Garamond" w:hAnsi="Garamond" w:cs="Garamond"/>
        </w:rPr>
      </w:pPr>
    </w:p>
    <w:p w:rsidR="00A22F56" w:rsidRDefault="00506037">
      <w:pPr>
        <w:numPr>
          <w:ilvl w:val="2"/>
          <w:numId w:val="59"/>
        </w:numPr>
        <w:tabs>
          <w:tab w:val="left" w:pos="720"/>
        </w:tabs>
        <w:ind w:left="0" w:hanging="2"/>
        <w:rPr>
          <w:rFonts w:ascii="Garamond" w:eastAsia="Garamond" w:hAnsi="Garamond" w:cs="Garamond"/>
        </w:rPr>
      </w:pPr>
      <w:r>
        <w:rPr>
          <w:rFonts w:ascii="Garamond" w:eastAsia="Garamond" w:hAnsi="Garamond" w:cs="Garamond"/>
        </w:rPr>
        <w:t>The detailed proposal shall follow the order set forth in Section V B of this request for proposals.</w:t>
      </w:r>
    </w:p>
    <w:p w:rsidR="00A22F56" w:rsidRDefault="00A22F56">
      <w:pPr>
        <w:tabs>
          <w:tab w:val="left" w:pos="720"/>
        </w:tabs>
        <w:ind w:left="0" w:hanging="2"/>
        <w:rPr>
          <w:rFonts w:ascii="Garamond" w:eastAsia="Garamond" w:hAnsi="Garamond" w:cs="Garamond"/>
        </w:rPr>
      </w:pPr>
    </w:p>
    <w:p w:rsidR="00A22F56" w:rsidRDefault="00506037">
      <w:pPr>
        <w:numPr>
          <w:ilvl w:val="2"/>
          <w:numId w:val="59"/>
        </w:numPr>
        <w:tabs>
          <w:tab w:val="left" w:pos="720"/>
        </w:tabs>
        <w:ind w:left="0" w:hanging="2"/>
        <w:rPr>
          <w:rFonts w:ascii="Garamond" w:eastAsia="Garamond" w:hAnsi="Garamond" w:cs="Garamond"/>
        </w:rPr>
      </w:pPr>
      <w:r>
        <w:rPr>
          <w:rFonts w:ascii="Garamond" w:eastAsia="Garamond" w:hAnsi="Garamond" w:cs="Garamond"/>
        </w:rPr>
        <w:t xml:space="preserve">Executed copies of Proposer Guarantees and Proposer Warranties, </w:t>
      </w:r>
      <w:r>
        <w:rPr>
          <w:rFonts w:ascii="Garamond" w:eastAsia="Garamond" w:hAnsi="Garamond" w:cs="Garamond"/>
        </w:rPr>
        <w:t>attached to this request for proposals (Appendix A and Appendix B).</w:t>
      </w:r>
    </w:p>
    <w:p w:rsidR="00A22F56" w:rsidRDefault="00A22F56">
      <w:pPr>
        <w:tabs>
          <w:tab w:val="left" w:pos="720"/>
        </w:tabs>
        <w:ind w:left="0" w:hanging="2"/>
        <w:rPr>
          <w:rFonts w:ascii="Garamond" w:eastAsia="Garamond" w:hAnsi="Garamond" w:cs="Garamond"/>
        </w:rPr>
      </w:pPr>
    </w:p>
    <w:p w:rsidR="00A22F56" w:rsidRDefault="00506037">
      <w:pPr>
        <w:numPr>
          <w:ilvl w:val="2"/>
          <w:numId w:val="59"/>
        </w:numPr>
        <w:tabs>
          <w:tab w:val="left" w:pos="720"/>
        </w:tabs>
        <w:ind w:left="0" w:hanging="2"/>
        <w:rPr>
          <w:rFonts w:ascii="Garamond" w:eastAsia="Garamond" w:hAnsi="Garamond" w:cs="Garamond"/>
        </w:rPr>
      </w:pPr>
      <w:r>
        <w:rPr>
          <w:rFonts w:ascii="Garamond" w:eastAsia="Garamond" w:hAnsi="Garamond" w:cs="Garamond"/>
        </w:rPr>
        <w:t>The proposer shall submit an original and three (3) copies of a dollar cost bid (Appendix C) in a separate sealed envelope marked as follows:</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jc w:val="center"/>
        <w:rPr>
          <w:rFonts w:ascii="Garamond" w:eastAsia="Garamond" w:hAnsi="Garamond" w:cs="Garamond"/>
        </w:rPr>
      </w:pPr>
    </w:p>
    <w:p w:rsidR="00A22F56" w:rsidRDefault="00A22F56">
      <w:pPr>
        <w:tabs>
          <w:tab w:val="left" w:pos="720"/>
        </w:tabs>
        <w:ind w:left="0" w:hanging="2"/>
        <w:jc w:val="center"/>
        <w:rPr>
          <w:rFonts w:ascii="Garamond" w:eastAsia="Garamond" w:hAnsi="Garamond" w:cs="Garamond"/>
        </w:rPr>
      </w:pP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b/>
        </w:rPr>
        <w:t>SEALED DOLLAR COST BID</w:t>
      </w: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b/>
        </w:rPr>
        <w:t>PROPOSAL</w:t>
      </w: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b/>
        </w:rPr>
        <w:t>FOR</w:t>
      </w: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b/>
        </w:rPr>
        <w:t>THE BR</w:t>
      </w:r>
      <w:r>
        <w:rPr>
          <w:rFonts w:ascii="Garamond" w:eastAsia="Garamond" w:hAnsi="Garamond" w:cs="Garamond"/>
          <w:b/>
        </w:rPr>
        <w:t>ISTOL WARREN REGIONAL SCHOOL DISTRICT</w:t>
      </w: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b/>
        </w:rPr>
        <w:t>FOR</w:t>
      </w: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b/>
        </w:rPr>
        <w:t>PROFESSIONAL AUDITING SERVICES AND AGREED-UPON PROCEDURES</w:t>
      </w: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b/>
        </w:rPr>
        <w:t>SERVICES DATE</w:t>
      </w:r>
    </w:p>
    <w:p w:rsidR="00A22F56" w:rsidRDefault="00A22F56">
      <w:pPr>
        <w:tabs>
          <w:tab w:val="left" w:pos="720"/>
        </w:tabs>
        <w:ind w:left="0" w:hanging="2"/>
      </w:pPr>
    </w:p>
    <w:p w:rsidR="00A22F56" w:rsidRDefault="00506037">
      <w:pPr>
        <w:numPr>
          <w:ilvl w:val="2"/>
          <w:numId w:val="59"/>
        </w:numPr>
        <w:tabs>
          <w:tab w:val="left" w:pos="720"/>
        </w:tabs>
        <w:ind w:left="0" w:hanging="2"/>
        <w:rPr>
          <w:rFonts w:ascii="Garamond" w:eastAsia="Garamond" w:hAnsi="Garamond" w:cs="Garamond"/>
        </w:rPr>
      </w:pPr>
      <w:r>
        <w:rPr>
          <w:rFonts w:ascii="Garamond" w:eastAsia="Garamond" w:hAnsi="Garamond" w:cs="Garamond"/>
        </w:rPr>
        <w:t>Proposers should send the completed proposal consisting of the two separate envelopes to the following address: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t xml:space="preserve">           </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 xml:space="preserve"> Jonathan B</w:t>
      </w:r>
      <w:r>
        <w:rPr>
          <w:rFonts w:ascii="Garamond" w:eastAsia="Garamond" w:hAnsi="Garamond" w:cs="Garamond"/>
        </w:rPr>
        <w:t>rice, Ed.D</w:t>
      </w:r>
      <w:r>
        <w:rPr>
          <w:rFonts w:ascii="Garamond" w:eastAsia="Garamond" w:hAnsi="Garamond" w:cs="Garamond"/>
        </w:rPr>
        <w:tab/>
      </w:r>
      <w:r>
        <w:rPr>
          <w:rFonts w:ascii="Garamond" w:eastAsia="Garamond" w:hAnsi="Garamond" w:cs="Garamond"/>
        </w:rPr>
        <w:tab/>
      </w:r>
      <w:r>
        <w:rPr>
          <w:rFonts w:ascii="Garamond" w:eastAsia="Garamond" w:hAnsi="Garamond" w:cs="Garamond"/>
        </w:rPr>
        <w:tab/>
      </w: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Superintendent of Schools</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Bristol Warren Regional School District</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151 State Street</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Bristol, RI  02809</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b/>
        </w:rPr>
        <w:t>B.   Technical Proposal</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General Requirements</w:t>
      </w:r>
    </w:p>
    <w:p w:rsidR="00A22F56" w:rsidRDefault="00A22F56">
      <w:pPr>
        <w:tabs>
          <w:tab w:val="left" w:pos="720"/>
        </w:tabs>
        <w:ind w:left="0" w:hanging="2"/>
        <w:rPr>
          <w:rFonts w:ascii="Garamond" w:eastAsia="Garamond" w:hAnsi="Garamond" w:cs="Garamond"/>
        </w:rPr>
      </w:pPr>
    </w:p>
    <w:p w:rsidR="00A22F56" w:rsidRDefault="00506037">
      <w:pPr>
        <w:numPr>
          <w:ilvl w:val="1"/>
          <w:numId w:val="60"/>
        </w:numPr>
        <w:tabs>
          <w:tab w:val="left" w:pos="720"/>
        </w:tabs>
        <w:ind w:left="0" w:hanging="2"/>
        <w:rPr>
          <w:rFonts w:ascii="Garamond" w:eastAsia="Garamond" w:hAnsi="Garamond" w:cs="Garamond"/>
        </w:rPr>
      </w:pPr>
      <w:r>
        <w:rPr>
          <w:rFonts w:ascii="Garamond" w:eastAsia="Garamond" w:hAnsi="Garamond" w:cs="Garamond"/>
        </w:rPr>
        <w:t>The purpose of the technical proposal is to demonstrate the qualifications, competence and capacity of the firms seeking to undertake an independent audit of the BWRSD in conformity with the requirements of this request for proposals.  As such, the substan</w:t>
      </w:r>
      <w:r>
        <w:rPr>
          <w:rFonts w:ascii="Garamond" w:eastAsia="Garamond" w:hAnsi="Garamond" w:cs="Garamond"/>
        </w:rPr>
        <w:t>ce of proposals will carry more weight than their form or manner of presentation.  The technical proposal should demonstrate the qualifications of the firm and of the particular staff to be assigned to this engagement.  It should also specify an audit appr</w:t>
      </w:r>
      <w:r>
        <w:rPr>
          <w:rFonts w:ascii="Garamond" w:eastAsia="Garamond" w:hAnsi="Garamond" w:cs="Garamond"/>
        </w:rPr>
        <w:t>oach that will meet the request for proposals requirement.</w:t>
      </w:r>
    </w:p>
    <w:p w:rsidR="00A22F56" w:rsidRDefault="00A22F56">
      <w:pPr>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b/>
        </w:rPr>
        <w:t>There should be no dollar units or total costs included in the technical proposal document.</w:t>
      </w:r>
    </w:p>
    <w:p w:rsidR="00A22F56" w:rsidRDefault="00A22F56">
      <w:pPr>
        <w:tabs>
          <w:tab w:val="left" w:pos="720"/>
        </w:tabs>
        <w:ind w:left="0" w:hanging="2"/>
        <w:rPr>
          <w:rFonts w:ascii="Garamond" w:eastAsia="Garamond" w:hAnsi="Garamond" w:cs="Garamond"/>
        </w:rPr>
      </w:pPr>
    </w:p>
    <w:p w:rsidR="00A22F56" w:rsidRDefault="00506037">
      <w:pPr>
        <w:numPr>
          <w:ilvl w:val="1"/>
          <w:numId w:val="60"/>
        </w:numPr>
        <w:tabs>
          <w:tab w:val="left" w:pos="720"/>
        </w:tabs>
        <w:ind w:left="0" w:hanging="2"/>
        <w:rPr>
          <w:rFonts w:ascii="Garamond" w:eastAsia="Garamond" w:hAnsi="Garamond" w:cs="Garamond"/>
        </w:rPr>
      </w:pPr>
      <w:r>
        <w:rPr>
          <w:rFonts w:ascii="Garamond" w:eastAsia="Garamond" w:hAnsi="Garamond" w:cs="Garamond"/>
        </w:rPr>
        <w:t xml:space="preserve">The technical proposal should address all the points outlined in the request for proposals (excluding </w:t>
      </w:r>
      <w:r>
        <w:rPr>
          <w:rFonts w:ascii="Garamond" w:eastAsia="Garamond" w:hAnsi="Garamond" w:cs="Garamond"/>
        </w:rPr>
        <w:t xml:space="preserve">any cost information which should only be included in the sealed dollar cost bid).  The proposal should be prepared simply and economically, providing a straightforward, concise description of the proposer’s capabilities to satisfy the requirements of the </w:t>
      </w:r>
      <w:r>
        <w:rPr>
          <w:rFonts w:ascii="Garamond" w:eastAsia="Garamond" w:hAnsi="Garamond" w:cs="Garamond"/>
        </w:rPr>
        <w:t>request for proposals. While additional data may be presented, the following item Nos. 2 through 11 must be included. They represent the criteria against which the proposal will be evaluated.</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Independence</w:t>
      </w:r>
    </w:p>
    <w:p w:rsidR="00A22F56" w:rsidRDefault="00A22F56">
      <w:pPr>
        <w:tabs>
          <w:tab w:val="left" w:pos="720"/>
        </w:tabs>
        <w:ind w:left="0" w:hanging="2"/>
        <w:rPr>
          <w:rFonts w:ascii="Garamond" w:eastAsia="Garamond" w:hAnsi="Garamond" w:cs="Garamond"/>
        </w:rPr>
      </w:pPr>
    </w:p>
    <w:p w:rsidR="00A22F56" w:rsidRDefault="00506037">
      <w:pPr>
        <w:numPr>
          <w:ilvl w:val="0"/>
          <w:numId w:val="61"/>
        </w:numPr>
        <w:tabs>
          <w:tab w:val="left" w:pos="720"/>
        </w:tabs>
        <w:ind w:left="0" w:hanging="2"/>
        <w:rPr>
          <w:rFonts w:ascii="Garamond" w:eastAsia="Garamond" w:hAnsi="Garamond" w:cs="Garamond"/>
        </w:rPr>
      </w:pPr>
      <w:r>
        <w:rPr>
          <w:rFonts w:ascii="Garamond" w:eastAsia="Garamond" w:hAnsi="Garamond" w:cs="Garamond"/>
        </w:rPr>
        <w:t>The firm shall provide an affirmative statement t</w:t>
      </w:r>
      <w:r>
        <w:rPr>
          <w:rFonts w:ascii="Garamond" w:eastAsia="Garamond" w:hAnsi="Garamond" w:cs="Garamond"/>
        </w:rPr>
        <w:t>hat it is independent of the BWRSD, as defined by generally accepted auditing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61"/>
        </w:numPr>
        <w:tabs>
          <w:tab w:val="left" w:pos="720"/>
        </w:tabs>
        <w:ind w:left="0" w:hanging="2"/>
        <w:rPr>
          <w:rFonts w:ascii="Garamond" w:eastAsia="Garamond" w:hAnsi="Garamond" w:cs="Garamond"/>
        </w:rPr>
      </w:pPr>
      <w:r>
        <w:rPr>
          <w:rFonts w:ascii="Garamond" w:eastAsia="Garamond" w:hAnsi="Garamond" w:cs="Garamond"/>
        </w:rPr>
        <w:t>The private auditor must meet the independence requirements of the American Institute of Certified Public Accountants and independence requirements of Government Audi</w:t>
      </w:r>
      <w:r>
        <w:rPr>
          <w:rFonts w:ascii="Garamond" w:eastAsia="Garamond" w:hAnsi="Garamond" w:cs="Garamond"/>
        </w:rPr>
        <w:t>ting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61"/>
        </w:numPr>
        <w:tabs>
          <w:tab w:val="left" w:pos="720"/>
        </w:tabs>
        <w:ind w:left="0" w:hanging="2"/>
        <w:rPr>
          <w:rFonts w:ascii="Garamond" w:eastAsia="Garamond" w:hAnsi="Garamond" w:cs="Garamond"/>
        </w:rPr>
      </w:pPr>
      <w:r>
        <w:rPr>
          <w:rFonts w:ascii="Garamond" w:eastAsia="Garamond" w:hAnsi="Garamond" w:cs="Garamond"/>
        </w:rPr>
        <w:t>The firm shall also list and describe the firm’s professional relationships involving the BWRSD or any of its agencies or component units for the past five (5) years, together with a statement explaining why such relationships do not const</w:t>
      </w:r>
      <w:r>
        <w:rPr>
          <w:rFonts w:ascii="Garamond" w:eastAsia="Garamond" w:hAnsi="Garamond" w:cs="Garamond"/>
        </w:rPr>
        <w:t>itute a conflict of interest relative to performing the proposed audit.</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License to Practice in Rhode Island</w:t>
      </w:r>
    </w:p>
    <w:p w:rsidR="00A22F56" w:rsidRDefault="00A22F56">
      <w:pPr>
        <w:tabs>
          <w:tab w:val="left" w:pos="720"/>
        </w:tabs>
        <w:ind w:left="0" w:hanging="2"/>
        <w:rPr>
          <w:rFonts w:ascii="Garamond" w:eastAsia="Garamond" w:hAnsi="Garamond" w:cs="Garamond"/>
        </w:rPr>
      </w:pPr>
    </w:p>
    <w:p w:rsidR="00A22F56" w:rsidRDefault="00506037">
      <w:pPr>
        <w:numPr>
          <w:ilvl w:val="1"/>
          <w:numId w:val="52"/>
        </w:numPr>
        <w:tabs>
          <w:tab w:val="left" w:pos="720"/>
        </w:tabs>
        <w:ind w:left="0" w:hanging="2"/>
        <w:rPr>
          <w:rFonts w:ascii="Garamond" w:eastAsia="Garamond" w:hAnsi="Garamond" w:cs="Garamond"/>
        </w:rPr>
      </w:pPr>
      <w:r>
        <w:rPr>
          <w:rFonts w:ascii="Garamond" w:eastAsia="Garamond" w:hAnsi="Garamond" w:cs="Garamond"/>
        </w:rPr>
        <w:t>An affirmative statement shall be included indicating that the firm and all assigned key professional staff are properly licensed to practice in Rhode Island.</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Firm Qualifications and Experience</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firm selected for the audit shall be a firm of certified</w:t>
      </w:r>
      <w:r>
        <w:rPr>
          <w:rFonts w:ascii="Garamond" w:eastAsia="Garamond" w:hAnsi="Garamond" w:cs="Garamond"/>
        </w:rPr>
        <w:t xml:space="preserve"> public accountants holding a valid certification in the State of Rhode Island or from another state having equal professional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senior accountant in charge of the fieldwork shall be a certified public accountant.</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 xml:space="preserve">The audit organization and </w:t>
      </w:r>
      <w:r>
        <w:rPr>
          <w:rFonts w:ascii="Garamond" w:eastAsia="Garamond" w:hAnsi="Garamond" w:cs="Garamond"/>
        </w:rPr>
        <w:t>the individuals responsible for planning, directing, conducting substantial portions of the fieldwork, or reporting on government audits shall meet the continuing educational requirements of Government Auditing Standards issued by the Comptroller General o</w:t>
      </w:r>
      <w:r>
        <w:rPr>
          <w:rFonts w:ascii="Garamond" w:eastAsia="Garamond" w:hAnsi="Garamond" w:cs="Garamond"/>
        </w:rPr>
        <w:t>f the United States.</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audit organization shall have an appropriate internal quality control system in place and participate in an external quality control review program as required by Government Auditing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proposal shall state the size o</w:t>
      </w:r>
      <w:r>
        <w:rPr>
          <w:rFonts w:ascii="Garamond" w:eastAsia="Garamond" w:hAnsi="Garamond" w:cs="Garamond"/>
        </w:rPr>
        <w:t>f the firm, the size of the firm’s governmental audit staff, the location of the office from which the work on this engagement is to be performed and the number and nature of the professional to be employed in this engagement on a full-time basis and the n</w:t>
      </w:r>
      <w:r>
        <w:rPr>
          <w:rFonts w:ascii="Garamond" w:eastAsia="Garamond" w:hAnsi="Garamond" w:cs="Garamond"/>
        </w:rPr>
        <w:t>umber and nature of the staff to be employed on a part-time basis.</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firm is also required to submit a copy of the report on its most recent external quality control       review, with a statement of whether that quality control review included a review</w:t>
      </w:r>
      <w:r>
        <w:rPr>
          <w:rFonts w:ascii="Garamond" w:eastAsia="Garamond" w:hAnsi="Garamond" w:cs="Garamond"/>
        </w:rPr>
        <w:t xml:space="preserve"> of specific government engagements, and also submit the results of any subsequent review performed during the term of the contract.  </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firm shall identify any sub-contractors, co-proposers, or other entities that will be used to provide the profession</w:t>
      </w:r>
      <w:r>
        <w:rPr>
          <w:rFonts w:ascii="Garamond" w:eastAsia="Garamond" w:hAnsi="Garamond" w:cs="Garamond"/>
        </w:rPr>
        <w:t xml:space="preserve">al services sought by the request for proposal. </w:t>
      </w:r>
    </w:p>
    <w:p w:rsidR="00A22F56" w:rsidRDefault="00A22F56">
      <w:pPr>
        <w:pBdr>
          <w:top w:val="nil"/>
          <w:left w:val="nil"/>
          <w:bottom w:val="nil"/>
          <w:right w:val="nil"/>
          <w:between w:val="nil"/>
        </w:pBdr>
        <w:spacing w:line="240" w:lineRule="auto"/>
        <w:ind w:left="0" w:hanging="2"/>
        <w:rPr>
          <w:rFonts w:ascii="Garamond" w:eastAsia="Garamond" w:hAnsi="Garamond" w:cs="Garamond"/>
          <w:color w:val="000000"/>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firm shall also provide information on the results of any federal or state desk reviews or field reviews of its audits during the past three (3) years.  In addition, the firm shall provide information on the circumstances and status of any disciplinary</w:t>
      </w:r>
      <w:r>
        <w:rPr>
          <w:rFonts w:ascii="Garamond" w:eastAsia="Garamond" w:hAnsi="Garamond" w:cs="Garamond"/>
        </w:rPr>
        <w:t xml:space="preserve"> action taken or pending against the firm during the past three (3) years with state regulatory bodies or professional organizations.</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 xml:space="preserve">The firm shall provide a list of any professional complaints pending or resolved against the firm or any of its partners </w:t>
      </w:r>
      <w:r>
        <w:rPr>
          <w:rFonts w:ascii="Garamond" w:eastAsia="Garamond" w:hAnsi="Garamond" w:cs="Garamond"/>
        </w:rPr>
        <w:t>with the state boards of accountancy, or any self regulatory, professional or government authority including but not limited to the AICPA, or Rhode Island Board of Accountancy.</w:t>
      </w:r>
    </w:p>
    <w:p w:rsidR="00A22F56" w:rsidRDefault="00A22F56">
      <w:pPr>
        <w:tabs>
          <w:tab w:val="left" w:pos="720"/>
        </w:tabs>
        <w:ind w:left="0" w:hanging="2"/>
        <w:rPr>
          <w:rFonts w:ascii="Garamond" w:eastAsia="Garamond" w:hAnsi="Garamond" w:cs="Garamond"/>
        </w:rPr>
      </w:pPr>
    </w:p>
    <w:p w:rsidR="00A22F56" w:rsidRDefault="00506037">
      <w:pPr>
        <w:numPr>
          <w:ilvl w:val="0"/>
          <w:numId w:val="8"/>
        </w:numPr>
        <w:tabs>
          <w:tab w:val="left" w:pos="720"/>
        </w:tabs>
        <w:ind w:left="0" w:hanging="2"/>
        <w:rPr>
          <w:rFonts w:ascii="Garamond" w:eastAsia="Garamond" w:hAnsi="Garamond" w:cs="Garamond"/>
        </w:rPr>
      </w:pPr>
      <w:r>
        <w:rPr>
          <w:rFonts w:ascii="Garamond" w:eastAsia="Garamond" w:hAnsi="Garamond" w:cs="Garamond"/>
        </w:rPr>
        <w:t>The firm shall provide information regarding any lawsuits or claims against th</w:t>
      </w:r>
      <w:r>
        <w:rPr>
          <w:rFonts w:ascii="Garamond" w:eastAsia="Garamond" w:hAnsi="Garamond" w:cs="Garamond"/>
        </w:rPr>
        <w:t>e firm, both pending and/or resolved.</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Partner, Supervisory and Staff Qualifications and Experience</w:t>
      </w:r>
    </w:p>
    <w:p w:rsidR="00A22F56" w:rsidRDefault="00A22F56">
      <w:pPr>
        <w:tabs>
          <w:tab w:val="left" w:pos="720"/>
        </w:tabs>
        <w:ind w:left="0" w:hanging="2"/>
        <w:rPr>
          <w:rFonts w:ascii="Garamond" w:eastAsia="Garamond" w:hAnsi="Garamond" w:cs="Garamond"/>
        </w:rPr>
      </w:pPr>
    </w:p>
    <w:p w:rsidR="00A22F56" w:rsidRDefault="00506037">
      <w:pPr>
        <w:numPr>
          <w:ilvl w:val="0"/>
          <w:numId w:val="4"/>
        </w:numPr>
        <w:tabs>
          <w:tab w:val="left" w:pos="720"/>
        </w:tabs>
        <w:ind w:left="0" w:hanging="2"/>
        <w:rPr>
          <w:rFonts w:ascii="Garamond" w:eastAsia="Garamond" w:hAnsi="Garamond" w:cs="Garamond"/>
        </w:rPr>
      </w:pPr>
      <w:r>
        <w:rPr>
          <w:rFonts w:ascii="Garamond" w:eastAsia="Garamond" w:hAnsi="Garamond" w:cs="Garamond"/>
        </w:rPr>
        <w:t>The firm shall identify the principal supervisory and management staff, including engagement partners, managers, other supervisors and specialists, who wou</w:t>
      </w:r>
      <w:r>
        <w:rPr>
          <w:rFonts w:ascii="Garamond" w:eastAsia="Garamond" w:hAnsi="Garamond" w:cs="Garamond"/>
        </w:rPr>
        <w:t>ld be assigned to the engagement and indicate whether each such person is licensed to practice as a certified public accountant in Rhode Island, along with the amount and type of professional liability coverage.  The audit firm shall have at the time of pr</w:t>
      </w:r>
      <w:r>
        <w:rPr>
          <w:rFonts w:ascii="Garamond" w:eastAsia="Garamond" w:hAnsi="Garamond" w:cs="Garamond"/>
        </w:rPr>
        <w:t>oposal, and throughout the period of engagement, professional liability insurance coverage of not less than $1 million.  The firm will provide information on the government auditing experience of each person, including information on relevant continuing pr</w:t>
      </w:r>
      <w:r>
        <w:rPr>
          <w:rFonts w:ascii="Garamond" w:eastAsia="Garamond" w:hAnsi="Garamond" w:cs="Garamond"/>
        </w:rPr>
        <w:t>ofessional education for the past three (3) years and membership in professional organizations relevant to the performance of this audit.</w:t>
      </w:r>
    </w:p>
    <w:p w:rsidR="00A22F56" w:rsidRDefault="00A22F56">
      <w:pPr>
        <w:tabs>
          <w:tab w:val="left" w:pos="720"/>
        </w:tabs>
        <w:ind w:left="0" w:hanging="2"/>
        <w:rPr>
          <w:rFonts w:ascii="Garamond" w:eastAsia="Garamond" w:hAnsi="Garamond" w:cs="Garamond"/>
        </w:rPr>
      </w:pPr>
    </w:p>
    <w:p w:rsidR="00A22F56" w:rsidRDefault="00506037">
      <w:pPr>
        <w:numPr>
          <w:ilvl w:val="0"/>
          <w:numId w:val="4"/>
        </w:numPr>
        <w:tabs>
          <w:tab w:val="left" w:pos="720"/>
        </w:tabs>
        <w:ind w:left="0" w:hanging="2"/>
        <w:rPr>
          <w:rFonts w:ascii="Garamond" w:eastAsia="Garamond" w:hAnsi="Garamond" w:cs="Garamond"/>
        </w:rPr>
      </w:pPr>
      <w:r>
        <w:rPr>
          <w:rFonts w:ascii="Garamond" w:eastAsia="Garamond" w:hAnsi="Garamond" w:cs="Garamond"/>
        </w:rPr>
        <w:t xml:space="preserve">The firm will provide as much information as possible regarding the number, qualifications, experience and training, </w:t>
      </w:r>
      <w:r>
        <w:rPr>
          <w:rFonts w:ascii="Garamond" w:eastAsia="Garamond" w:hAnsi="Garamond" w:cs="Garamond"/>
        </w:rPr>
        <w:t>including relevant continuing professional education, of the specific staff to be assigned to this engagement.  The firm also will indicate how the quality of the staff over the term of the engagement will be assured.</w:t>
      </w:r>
    </w:p>
    <w:p w:rsidR="00A22F56" w:rsidRDefault="00A22F56">
      <w:pPr>
        <w:tabs>
          <w:tab w:val="left" w:pos="720"/>
        </w:tabs>
        <w:ind w:left="0" w:hanging="2"/>
      </w:pPr>
    </w:p>
    <w:p w:rsidR="00A22F56" w:rsidRDefault="00506037">
      <w:pPr>
        <w:numPr>
          <w:ilvl w:val="0"/>
          <w:numId w:val="4"/>
        </w:numPr>
        <w:tabs>
          <w:tab w:val="left" w:pos="720"/>
        </w:tabs>
        <w:ind w:left="0" w:hanging="2"/>
        <w:rPr>
          <w:rFonts w:ascii="Garamond" w:eastAsia="Garamond" w:hAnsi="Garamond" w:cs="Garamond"/>
        </w:rPr>
      </w:pPr>
      <w:r>
        <w:rPr>
          <w:rFonts w:ascii="Garamond" w:eastAsia="Garamond" w:hAnsi="Garamond" w:cs="Garamond"/>
        </w:rPr>
        <w:t xml:space="preserve">Engagement partners, managers, other </w:t>
      </w:r>
      <w:r>
        <w:rPr>
          <w:rFonts w:ascii="Garamond" w:eastAsia="Garamond" w:hAnsi="Garamond" w:cs="Garamond"/>
        </w:rPr>
        <w:t>supervisory staff and specialists may be changed if those personnel leave the firm, or if they are promoted or are assigned to another office.  These personnel may also be changed for other reasons with the express prior written permission of the BWRSD.  H</w:t>
      </w:r>
      <w:r>
        <w:rPr>
          <w:rFonts w:ascii="Garamond" w:eastAsia="Garamond" w:hAnsi="Garamond" w:cs="Garamond"/>
        </w:rPr>
        <w:t>owever, in either case the District retains the right to approve or reject replacements.</w:t>
      </w:r>
    </w:p>
    <w:p w:rsidR="00A22F56" w:rsidRDefault="00A22F56">
      <w:pPr>
        <w:tabs>
          <w:tab w:val="left" w:pos="720"/>
        </w:tabs>
        <w:ind w:left="0" w:hanging="2"/>
        <w:rPr>
          <w:rFonts w:ascii="Garamond" w:eastAsia="Garamond" w:hAnsi="Garamond" w:cs="Garamond"/>
        </w:rPr>
      </w:pPr>
    </w:p>
    <w:p w:rsidR="00A22F56" w:rsidRDefault="00506037">
      <w:pPr>
        <w:numPr>
          <w:ilvl w:val="0"/>
          <w:numId w:val="4"/>
        </w:numPr>
        <w:tabs>
          <w:tab w:val="left" w:pos="720"/>
        </w:tabs>
        <w:ind w:left="0" w:hanging="2"/>
        <w:rPr>
          <w:rFonts w:ascii="Garamond" w:eastAsia="Garamond" w:hAnsi="Garamond" w:cs="Garamond"/>
        </w:rPr>
      </w:pPr>
      <w:r>
        <w:rPr>
          <w:rFonts w:ascii="Garamond" w:eastAsia="Garamond" w:hAnsi="Garamond" w:cs="Garamond"/>
        </w:rPr>
        <w:t>Consultants and firm specialists mentioned in response to this request for proposals can only be changed with the express prior written permission of the BWRSD, which</w:t>
      </w:r>
      <w:r>
        <w:rPr>
          <w:rFonts w:ascii="Garamond" w:eastAsia="Garamond" w:hAnsi="Garamond" w:cs="Garamond"/>
        </w:rPr>
        <w:t xml:space="preserve"> retains the right to approve or reject replacements.</w:t>
      </w:r>
    </w:p>
    <w:p w:rsidR="00A22F56" w:rsidRDefault="00A22F56">
      <w:pPr>
        <w:tabs>
          <w:tab w:val="left" w:pos="720"/>
        </w:tabs>
        <w:ind w:left="0" w:hanging="2"/>
        <w:rPr>
          <w:rFonts w:ascii="Garamond" w:eastAsia="Garamond" w:hAnsi="Garamond" w:cs="Garamond"/>
        </w:rPr>
      </w:pPr>
    </w:p>
    <w:p w:rsidR="00A22F56" w:rsidRDefault="00506037">
      <w:pPr>
        <w:numPr>
          <w:ilvl w:val="0"/>
          <w:numId w:val="4"/>
        </w:numPr>
        <w:tabs>
          <w:tab w:val="left" w:pos="720"/>
        </w:tabs>
        <w:ind w:left="0" w:hanging="2"/>
        <w:rPr>
          <w:rFonts w:ascii="Garamond" w:eastAsia="Garamond" w:hAnsi="Garamond" w:cs="Garamond"/>
        </w:rPr>
      </w:pPr>
      <w:r>
        <w:rPr>
          <w:rFonts w:ascii="Garamond" w:eastAsia="Garamond" w:hAnsi="Garamond" w:cs="Garamond"/>
        </w:rPr>
        <w:lastRenderedPageBreak/>
        <w:t>Other audit personnel may be changed at the discretion of the proposer provided that replacements have substantially the same or better qualifications or experience.</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Similar Engagements with Other Government Entities</w:t>
      </w:r>
    </w:p>
    <w:p w:rsidR="00A22F56" w:rsidRDefault="00A22F56">
      <w:pPr>
        <w:tabs>
          <w:tab w:val="left" w:pos="720"/>
        </w:tabs>
        <w:ind w:left="0" w:hanging="2"/>
        <w:rPr>
          <w:rFonts w:ascii="Garamond" w:eastAsia="Garamond" w:hAnsi="Garamond" w:cs="Garamond"/>
        </w:rPr>
      </w:pPr>
    </w:p>
    <w:p w:rsidR="00A22F56" w:rsidRDefault="00506037">
      <w:pPr>
        <w:numPr>
          <w:ilvl w:val="0"/>
          <w:numId w:val="31"/>
        </w:numPr>
        <w:tabs>
          <w:tab w:val="left" w:pos="720"/>
        </w:tabs>
        <w:ind w:left="0" w:hanging="2"/>
        <w:rPr>
          <w:rFonts w:ascii="Garamond" w:eastAsia="Garamond" w:hAnsi="Garamond" w:cs="Garamond"/>
        </w:rPr>
      </w:pPr>
      <w:r>
        <w:rPr>
          <w:rFonts w:ascii="Garamond" w:eastAsia="Garamond" w:hAnsi="Garamond" w:cs="Garamond"/>
        </w:rPr>
        <w:t>For the firm’s office that will be assigned responsibility for the audit, list the most significant engagements maximum of five) performed in the last five years that are similar to the engagement describ</w:t>
      </w:r>
      <w:r>
        <w:rPr>
          <w:rFonts w:ascii="Garamond" w:eastAsia="Garamond" w:hAnsi="Garamond" w:cs="Garamond"/>
        </w:rPr>
        <w:t>ed in this request for proposal.  These engagements should be ranked on the basis of total staff hours.</w:t>
      </w:r>
    </w:p>
    <w:p w:rsidR="00A22F56" w:rsidRDefault="00A22F56">
      <w:pPr>
        <w:tabs>
          <w:tab w:val="left" w:pos="720"/>
        </w:tabs>
        <w:ind w:left="0" w:hanging="2"/>
        <w:rPr>
          <w:rFonts w:ascii="Garamond" w:eastAsia="Garamond" w:hAnsi="Garamond" w:cs="Garamond"/>
        </w:rPr>
      </w:pPr>
    </w:p>
    <w:p w:rsidR="00A22F56" w:rsidRDefault="00506037">
      <w:pPr>
        <w:numPr>
          <w:ilvl w:val="0"/>
          <w:numId w:val="31"/>
        </w:numPr>
        <w:tabs>
          <w:tab w:val="left" w:pos="720"/>
        </w:tabs>
        <w:ind w:left="0" w:hanging="2"/>
        <w:rPr>
          <w:rFonts w:ascii="Garamond" w:eastAsia="Garamond" w:hAnsi="Garamond" w:cs="Garamond"/>
        </w:rPr>
      </w:pPr>
      <w:r>
        <w:rPr>
          <w:rFonts w:ascii="Garamond" w:eastAsia="Garamond" w:hAnsi="Garamond" w:cs="Garamond"/>
        </w:rPr>
        <w:t>Indicate the scope of work, date, engagement partners, total hours, and the name and telephone number of the principal client contact.</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 xml:space="preserve">Specific Audit </w:t>
      </w:r>
      <w:r>
        <w:rPr>
          <w:rFonts w:ascii="Garamond" w:eastAsia="Garamond" w:hAnsi="Garamond" w:cs="Garamond"/>
        </w:rPr>
        <w:t>Approach</w:t>
      </w:r>
    </w:p>
    <w:p w:rsidR="00A22F56" w:rsidRDefault="00A22F56">
      <w:pPr>
        <w:tabs>
          <w:tab w:val="left" w:pos="720"/>
        </w:tabs>
        <w:ind w:left="0" w:hanging="2"/>
        <w:rPr>
          <w:rFonts w:ascii="Garamond" w:eastAsia="Garamond" w:hAnsi="Garamond" w:cs="Garamond"/>
        </w:rPr>
      </w:pPr>
    </w:p>
    <w:p w:rsidR="00A22F56" w:rsidRDefault="00506037">
      <w:pPr>
        <w:numPr>
          <w:ilvl w:val="0"/>
          <w:numId w:val="21"/>
        </w:numPr>
        <w:tabs>
          <w:tab w:val="left" w:pos="720"/>
        </w:tabs>
        <w:ind w:left="0" w:hanging="2"/>
        <w:rPr>
          <w:rFonts w:ascii="Garamond" w:eastAsia="Garamond" w:hAnsi="Garamond" w:cs="Garamond"/>
        </w:rPr>
      </w:pPr>
      <w:r>
        <w:rPr>
          <w:rFonts w:ascii="Garamond" w:eastAsia="Garamond" w:hAnsi="Garamond" w:cs="Garamond"/>
        </w:rPr>
        <w:t xml:space="preserve">The proposal will set forth a work plan, including an explanation of the audit methodology to be followed, to perform the services required in Section II of this request for proposals.  Proposers are required to provide the following information </w:t>
      </w:r>
      <w:r>
        <w:rPr>
          <w:rFonts w:ascii="Garamond" w:eastAsia="Garamond" w:hAnsi="Garamond" w:cs="Garamond"/>
        </w:rPr>
        <w:t>on their audit approach:</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Include the expected time budget and completion date for the audit.</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Proposed segmentation of the engagement.</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Level of staff and number of hours to be assigned to each proposed segment of the engagement.</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Sample sizes and the extent to which statistical sampling is to be used in the engagement.</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Extent of use of EDP software in the engagement.</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Type and extent of analytical procedures to be used in the engagement.</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Approach to be taken to gain and document an understanding of the BWRSD’s internal control.</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Approach to be taken in determining laws and regulations that will be subject to audit test work.</w:t>
      </w:r>
    </w:p>
    <w:p w:rsidR="00A22F56" w:rsidRDefault="00A22F56">
      <w:pPr>
        <w:tabs>
          <w:tab w:val="left" w:pos="720"/>
        </w:tabs>
        <w:ind w:left="0" w:hanging="2"/>
        <w:rPr>
          <w:rFonts w:ascii="Garamond" w:eastAsia="Garamond" w:hAnsi="Garamond" w:cs="Garamond"/>
        </w:rPr>
      </w:pPr>
    </w:p>
    <w:p w:rsidR="00A22F56" w:rsidRDefault="00506037">
      <w:pPr>
        <w:numPr>
          <w:ilvl w:val="1"/>
          <w:numId w:val="21"/>
        </w:numPr>
        <w:tabs>
          <w:tab w:val="left" w:pos="720"/>
        </w:tabs>
        <w:ind w:left="0" w:hanging="2"/>
        <w:rPr>
          <w:rFonts w:ascii="Garamond" w:eastAsia="Garamond" w:hAnsi="Garamond" w:cs="Garamond"/>
        </w:rPr>
      </w:pPr>
      <w:r>
        <w:rPr>
          <w:rFonts w:ascii="Garamond" w:eastAsia="Garamond" w:hAnsi="Garamond" w:cs="Garamond"/>
        </w:rPr>
        <w:t>Approach to be taken in drawing audit samples for purposes of te</w:t>
      </w:r>
      <w:r>
        <w:rPr>
          <w:rFonts w:ascii="Garamond" w:eastAsia="Garamond" w:hAnsi="Garamond" w:cs="Garamond"/>
        </w:rPr>
        <w:t>st of compliance.</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Required Representations</w:t>
      </w:r>
    </w:p>
    <w:p w:rsidR="00A22F56" w:rsidRDefault="00A22F56">
      <w:pPr>
        <w:ind w:left="0" w:hanging="2"/>
        <w:rPr>
          <w:rFonts w:ascii="Garamond" w:eastAsia="Garamond" w:hAnsi="Garamond" w:cs="Garamond"/>
        </w:rPr>
      </w:pPr>
    </w:p>
    <w:p w:rsidR="00A22F56" w:rsidRDefault="00506037">
      <w:pPr>
        <w:numPr>
          <w:ilvl w:val="0"/>
          <w:numId w:val="15"/>
        </w:numPr>
        <w:tabs>
          <w:tab w:val="left" w:pos="720"/>
        </w:tabs>
        <w:ind w:left="0" w:hanging="2"/>
        <w:rPr>
          <w:rFonts w:ascii="Garamond" w:eastAsia="Garamond" w:hAnsi="Garamond" w:cs="Garamond"/>
        </w:rPr>
      </w:pPr>
      <w:r>
        <w:rPr>
          <w:rFonts w:ascii="Garamond" w:eastAsia="Garamond" w:hAnsi="Garamond" w:cs="Garamond"/>
        </w:rPr>
        <w:t>A statement that there exist no client conflicts which would inhibit the ability to perform the audit in accordance with professional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15"/>
        </w:numPr>
        <w:tabs>
          <w:tab w:val="left" w:pos="720"/>
        </w:tabs>
        <w:ind w:left="0" w:hanging="2"/>
        <w:rPr>
          <w:rFonts w:ascii="Garamond" w:eastAsia="Garamond" w:hAnsi="Garamond" w:cs="Garamond"/>
        </w:rPr>
      </w:pPr>
      <w:r>
        <w:rPr>
          <w:rFonts w:ascii="Garamond" w:eastAsia="Garamond" w:hAnsi="Garamond" w:cs="Garamond"/>
        </w:rPr>
        <w:t xml:space="preserve">Representation that the private auditor is independent under the </w:t>
      </w:r>
      <w:r>
        <w:rPr>
          <w:rFonts w:ascii="Garamond" w:eastAsia="Garamond" w:hAnsi="Garamond" w:cs="Garamond"/>
        </w:rPr>
        <w:t>requirements of the American Institute of Certified Public Accountants and Government Auditing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15"/>
        </w:numPr>
        <w:tabs>
          <w:tab w:val="left" w:pos="720"/>
        </w:tabs>
        <w:ind w:left="0" w:hanging="2"/>
        <w:rPr>
          <w:rFonts w:ascii="Garamond" w:eastAsia="Garamond" w:hAnsi="Garamond" w:cs="Garamond"/>
        </w:rPr>
      </w:pPr>
      <w:r>
        <w:rPr>
          <w:rFonts w:ascii="Garamond" w:eastAsia="Garamond" w:hAnsi="Garamond" w:cs="Garamond"/>
        </w:rPr>
        <w:t>Representation that the private auditor of a municipality meets the continuing educational requirements of Government Auditing Standards.</w:t>
      </w:r>
    </w:p>
    <w:p w:rsidR="00A22F56" w:rsidRDefault="00A22F56">
      <w:pPr>
        <w:tabs>
          <w:tab w:val="left" w:pos="720"/>
        </w:tabs>
        <w:ind w:left="0" w:hanging="2"/>
        <w:rPr>
          <w:rFonts w:ascii="Garamond" w:eastAsia="Garamond" w:hAnsi="Garamond" w:cs="Garamond"/>
        </w:rPr>
      </w:pPr>
    </w:p>
    <w:p w:rsidR="00A22F56" w:rsidRDefault="00506037">
      <w:pPr>
        <w:numPr>
          <w:ilvl w:val="0"/>
          <w:numId w:val="15"/>
        </w:numPr>
        <w:tabs>
          <w:tab w:val="left" w:pos="720"/>
        </w:tabs>
        <w:ind w:left="0" w:hanging="2"/>
        <w:rPr>
          <w:rFonts w:ascii="Garamond" w:eastAsia="Garamond" w:hAnsi="Garamond" w:cs="Garamond"/>
        </w:rPr>
      </w:pPr>
      <w:r>
        <w:rPr>
          <w:rFonts w:ascii="Garamond" w:eastAsia="Garamond" w:hAnsi="Garamond" w:cs="Garamond"/>
        </w:rPr>
        <w:t xml:space="preserve">Representation that any subcontractors, co-proposers, or any other entity providing professional services under the engagement will be subject to, and will have met, all the same applicable requirements as the proposer. </w:t>
      </w:r>
    </w:p>
    <w:p w:rsidR="00A22F56" w:rsidRDefault="00A22F56">
      <w:pPr>
        <w:tabs>
          <w:tab w:val="left" w:pos="720"/>
        </w:tabs>
        <w:ind w:left="0" w:hanging="2"/>
        <w:rPr>
          <w:rFonts w:ascii="Garamond" w:eastAsia="Garamond" w:hAnsi="Garamond" w:cs="Garamond"/>
        </w:rPr>
      </w:pPr>
    </w:p>
    <w:p w:rsidR="00A22F56" w:rsidRDefault="00506037">
      <w:pPr>
        <w:numPr>
          <w:ilvl w:val="0"/>
          <w:numId w:val="15"/>
        </w:numPr>
        <w:tabs>
          <w:tab w:val="left" w:pos="720"/>
        </w:tabs>
        <w:ind w:left="0" w:hanging="2"/>
        <w:rPr>
          <w:rFonts w:ascii="Garamond" w:eastAsia="Garamond" w:hAnsi="Garamond" w:cs="Garamond"/>
        </w:rPr>
      </w:pPr>
      <w:r>
        <w:rPr>
          <w:rFonts w:ascii="Garamond" w:eastAsia="Garamond" w:hAnsi="Garamond" w:cs="Garamond"/>
        </w:rPr>
        <w:t>Representation that the private au</w:t>
      </w:r>
      <w:r>
        <w:rPr>
          <w:rFonts w:ascii="Garamond" w:eastAsia="Garamond" w:hAnsi="Garamond" w:cs="Garamond"/>
        </w:rPr>
        <w:t>ditor has an appropriate internal quality control system in place and has participated in an external quality control review program as required by Government Auditing Standards.  The firm will provide a copy of its most recent external quality control rev</w:t>
      </w:r>
      <w:r>
        <w:rPr>
          <w:rFonts w:ascii="Garamond" w:eastAsia="Garamond" w:hAnsi="Garamond" w:cs="Garamond"/>
        </w:rPr>
        <w:t>iew report and also submit the results of any subsequent review performed during the term of the contract.</w:t>
      </w:r>
    </w:p>
    <w:p w:rsidR="00A22F56" w:rsidRDefault="00A22F56">
      <w:pPr>
        <w:tabs>
          <w:tab w:val="left" w:pos="720"/>
        </w:tabs>
        <w:ind w:left="0" w:hanging="2"/>
        <w:rPr>
          <w:rFonts w:ascii="Garamond" w:eastAsia="Garamond" w:hAnsi="Garamond" w:cs="Garamond"/>
        </w:rPr>
      </w:pPr>
    </w:p>
    <w:p w:rsidR="00A22F56" w:rsidRDefault="00506037">
      <w:pPr>
        <w:numPr>
          <w:ilvl w:val="0"/>
          <w:numId w:val="15"/>
        </w:numPr>
        <w:tabs>
          <w:tab w:val="left" w:pos="720"/>
        </w:tabs>
        <w:ind w:left="0" w:hanging="2"/>
        <w:rPr>
          <w:rFonts w:ascii="Garamond" w:eastAsia="Garamond" w:hAnsi="Garamond" w:cs="Garamond"/>
        </w:rPr>
      </w:pPr>
      <w:r>
        <w:rPr>
          <w:rFonts w:ascii="Garamond" w:eastAsia="Garamond" w:hAnsi="Garamond" w:cs="Garamond"/>
        </w:rPr>
        <w:t xml:space="preserve">Representation that the private auditor is familiar with generally accepted accounting principles for state and local government units and with the </w:t>
      </w:r>
      <w:r>
        <w:rPr>
          <w:rFonts w:ascii="Garamond" w:eastAsia="Garamond" w:hAnsi="Garamond" w:cs="Garamond"/>
        </w:rPr>
        <w:t>generally accepted auditing standards promulgated by the American Institute of Certified Public Accountants; the standards for financial audits set forth in Government Auditing Standards issued by the Comptroller General of the United States; The Single Au</w:t>
      </w:r>
      <w:r>
        <w:rPr>
          <w:rFonts w:ascii="Garamond" w:eastAsia="Garamond" w:hAnsi="Garamond" w:cs="Garamond"/>
        </w:rPr>
        <w:t>dit Act of 1984 as amended in July 1996 and the provisions of OMB Guidance 2 CFR part 200 - Uniform Administrative Requirements, Cost Principles, and Audit Requirements for Federal Awards (OMB Uniform Guidance) - Subpart F – Audit Requirements.  The privat</w:t>
      </w:r>
      <w:r>
        <w:rPr>
          <w:rFonts w:ascii="Garamond" w:eastAsia="Garamond" w:hAnsi="Garamond" w:cs="Garamond"/>
        </w:rPr>
        <w:t>e auditor will conduct the audit and report in accordance with those standards.</w:t>
      </w:r>
    </w:p>
    <w:p w:rsidR="00A22F56" w:rsidRDefault="00A22F56">
      <w:pPr>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Identification of Anticipated Potential Audit Problems</w:t>
      </w:r>
    </w:p>
    <w:p w:rsidR="00A22F56" w:rsidRDefault="00A22F56">
      <w:pPr>
        <w:tabs>
          <w:tab w:val="left" w:pos="720"/>
        </w:tabs>
        <w:ind w:left="0" w:hanging="2"/>
        <w:rPr>
          <w:rFonts w:ascii="Garamond" w:eastAsia="Garamond" w:hAnsi="Garamond" w:cs="Garamond"/>
        </w:rPr>
      </w:pPr>
    </w:p>
    <w:p w:rsidR="00A22F56" w:rsidRDefault="00506037">
      <w:pPr>
        <w:numPr>
          <w:ilvl w:val="0"/>
          <w:numId w:val="22"/>
        </w:numPr>
        <w:tabs>
          <w:tab w:val="left" w:pos="720"/>
        </w:tabs>
        <w:ind w:left="0" w:hanging="2"/>
        <w:rPr>
          <w:rFonts w:ascii="Garamond" w:eastAsia="Garamond" w:hAnsi="Garamond" w:cs="Garamond"/>
        </w:rPr>
      </w:pPr>
      <w:r>
        <w:rPr>
          <w:rFonts w:ascii="Garamond" w:eastAsia="Garamond" w:hAnsi="Garamond" w:cs="Garamond"/>
        </w:rPr>
        <w:t>The proposal should identify and describe any anticipated potential audit problems, the firm’s approach to resolving th</w:t>
      </w:r>
      <w:r>
        <w:rPr>
          <w:rFonts w:ascii="Garamond" w:eastAsia="Garamond" w:hAnsi="Garamond" w:cs="Garamond"/>
        </w:rPr>
        <w:t>ese problems and any special assistance that will be requested from the BWRSD.</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Access to Audit Information and Audit Documentation by Auditor General</w:t>
      </w:r>
    </w:p>
    <w:p w:rsidR="00A22F56" w:rsidRDefault="00A22F56">
      <w:pPr>
        <w:tabs>
          <w:tab w:val="left" w:pos="720"/>
        </w:tabs>
        <w:ind w:left="0" w:hanging="2"/>
        <w:rPr>
          <w:rFonts w:ascii="Garamond" w:eastAsia="Garamond" w:hAnsi="Garamond" w:cs="Garamond"/>
        </w:rPr>
      </w:pPr>
    </w:p>
    <w:p w:rsidR="00A22F56" w:rsidRDefault="00506037">
      <w:pPr>
        <w:numPr>
          <w:ilvl w:val="0"/>
          <w:numId w:val="11"/>
        </w:numPr>
        <w:tabs>
          <w:tab w:val="left" w:pos="720"/>
        </w:tabs>
        <w:ind w:left="0" w:hanging="2"/>
        <w:rPr>
          <w:rFonts w:ascii="Garamond" w:eastAsia="Garamond" w:hAnsi="Garamond" w:cs="Garamond"/>
        </w:rPr>
      </w:pPr>
      <w:r>
        <w:rPr>
          <w:rFonts w:ascii="Garamond" w:eastAsia="Garamond" w:hAnsi="Garamond" w:cs="Garamond"/>
        </w:rPr>
        <w:t>As required by Section 45-10-4 of the RI General Laws, it is understood that the contract between the di</w:t>
      </w:r>
      <w:r>
        <w:rPr>
          <w:rFonts w:ascii="Garamond" w:eastAsia="Garamond" w:hAnsi="Garamond" w:cs="Garamond"/>
        </w:rPr>
        <w:t xml:space="preserve">strict and the audit firm shall require the auditor or the audit firm to release any and all information obtained in the course of the engagement to the Rhode Island State Auditor General (or his designee).  This information includes but is not limited to </w:t>
      </w:r>
      <w:r>
        <w:rPr>
          <w:rFonts w:ascii="Garamond" w:eastAsia="Garamond" w:hAnsi="Garamond" w:cs="Garamond"/>
        </w:rPr>
        <w:t>financial data, analysis, audit documentation, and memorandum.  Audit documentation of the independent auditors shall be made available to the Auditor General (or his designee) upon request.  Failure to provide this information shall constitute a breach of</w:t>
      </w:r>
      <w:r>
        <w:rPr>
          <w:rFonts w:ascii="Garamond" w:eastAsia="Garamond" w:hAnsi="Garamond" w:cs="Garamond"/>
        </w:rPr>
        <w:t xml:space="preserve"> contract and the contract shall give the Auditor General standing in a court of competent jurisdiction to enforce this provision.</w:t>
      </w:r>
    </w:p>
    <w:p w:rsidR="00A22F56" w:rsidRDefault="00A22F56">
      <w:pPr>
        <w:tabs>
          <w:tab w:val="left" w:pos="720"/>
        </w:tabs>
        <w:ind w:left="0" w:hanging="2"/>
        <w:rPr>
          <w:rFonts w:ascii="Garamond" w:eastAsia="Garamond" w:hAnsi="Garamond" w:cs="Garamond"/>
        </w:rPr>
      </w:pPr>
    </w:p>
    <w:p w:rsidR="00A22F56" w:rsidRDefault="00506037">
      <w:pPr>
        <w:numPr>
          <w:ilvl w:val="0"/>
          <w:numId w:val="60"/>
        </w:numPr>
        <w:ind w:left="0" w:hanging="2"/>
        <w:rPr>
          <w:rFonts w:ascii="Garamond" w:eastAsia="Garamond" w:hAnsi="Garamond" w:cs="Garamond"/>
        </w:rPr>
      </w:pPr>
      <w:r>
        <w:rPr>
          <w:rFonts w:ascii="Garamond" w:eastAsia="Garamond" w:hAnsi="Garamond" w:cs="Garamond"/>
        </w:rPr>
        <w:t>Report Format</w:t>
      </w:r>
    </w:p>
    <w:p w:rsidR="00A22F56" w:rsidRDefault="00A22F56">
      <w:pPr>
        <w:tabs>
          <w:tab w:val="left" w:pos="720"/>
        </w:tabs>
        <w:ind w:left="0" w:hanging="2"/>
        <w:rPr>
          <w:rFonts w:ascii="Garamond" w:eastAsia="Garamond" w:hAnsi="Garamond" w:cs="Garamond"/>
        </w:rPr>
      </w:pPr>
    </w:p>
    <w:p w:rsidR="00A22F56" w:rsidRDefault="00506037">
      <w:pPr>
        <w:numPr>
          <w:ilvl w:val="0"/>
          <w:numId w:val="39"/>
        </w:numPr>
        <w:tabs>
          <w:tab w:val="left" w:pos="720"/>
        </w:tabs>
        <w:ind w:left="0" w:hanging="2"/>
        <w:rPr>
          <w:rFonts w:ascii="Garamond" w:eastAsia="Garamond" w:hAnsi="Garamond" w:cs="Garamond"/>
        </w:rPr>
      </w:pPr>
      <w:r>
        <w:rPr>
          <w:rFonts w:ascii="Garamond" w:eastAsia="Garamond" w:hAnsi="Garamond" w:cs="Garamond"/>
        </w:rPr>
        <w:t>The proposal will include sample formats for required reports.  A sample municipal audit report should be enclosed for the District’s review.</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NO DOLLAR UNITS SHALL BE INCLUDED IN THE TECHNICAL PROPOSAL</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C.  Sealed Dollar Cost Bid</w:t>
      </w:r>
    </w:p>
    <w:p w:rsidR="00A22F56" w:rsidRDefault="00A22F56">
      <w:pPr>
        <w:tabs>
          <w:tab w:val="left" w:pos="720"/>
        </w:tabs>
        <w:ind w:left="0" w:hanging="2"/>
        <w:rPr>
          <w:rFonts w:ascii="Garamond" w:eastAsia="Garamond" w:hAnsi="Garamond" w:cs="Garamond"/>
        </w:rPr>
      </w:pPr>
    </w:p>
    <w:p w:rsidR="00A22F56" w:rsidRDefault="00506037">
      <w:pPr>
        <w:numPr>
          <w:ilvl w:val="0"/>
          <w:numId w:val="16"/>
        </w:numPr>
        <w:ind w:left="0" w:hanging="2"/>
        <w:rPr>
          <w:rFonts w:ascii="Garamond" w:eastAsia="Garamond" w:hAnsi="Garamond" w:cs="Garamond"/>
        </w:rPr>
      </w:pPr>
      <w:r>
        <w:rPr>
          <w:rFonts w:ascii="Garamond" w:eastAsia="Garamond" w:hAnsi="Garamond" w:cs="Garamond"/>
        </w:rPr>
        <w:t>Total All-in</w:t>
      </w:r>
      <w:r>
        <w:rPr>
          <w:rFonts w:ascii="Garamond" w:eastAsia="Garamond" w:hAnsi="Garamond" w:cs="Garamond"/>
        </w:rPr>
        <w:t>clusive Maximum Price</w:t>
      </w:r>
    </w:p>
    <w:p w:rsidR="00A22F56" w:rsidRDefault="00A22F56">
      <w:pPr>
        <w:tabs>
          <w:tab w:val="left" w:pos="720"/>
        </w:tabs>
        <w:ind w:left="0" w:hanging="2"/>
        <w:rPr>
          <w:rFonts w:ascii="Garamond" w:eastAsia="Garamond" w:hAnsi="Garamond" w:cs="Garamond"/>
        </w:rPr>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The sealed dollar cost bid should contain all pricing information relative to performing the audit and agreed-upon procedures engagements as described in this request for proposals.  The total all-inclusive maximum price to be bid wi</w:t>
      </w:r>
      <w:r>
        <w:rPr>
          <w:rFonts w:ascii="Garamond" w:eastAsia="Garamond" w:hAnsi="Garamond" w:cs="Garamond"/>
        </w:rPr>
        <w:t>ll contain all direct and indirect cost including all out-of-pocket expenses.</w:t>
      </w:r>
    </w:p>
    <w:p w:rsidR="00A22F56" w:rsidRDefault="00A22F56">
      <w:pPr>
        <w:tabs>
          <w:tab w:val="left" w:pos="720"/>
        </w:tabs>
        <w:ind w:left="0" w:hanging="2"/>
        <w:rPr>
          <w:rFonts w:ascii="Garamond" w:eastAsia="Garamond" w:hAnsi="Garamond" w:cs="Garamond"/>
        </w:rPr>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The BWRSD will not be responsible for expenses incurred in preparing and submitting the technical proposal or the sealed dollar cost bid.  Such costs are not</w:t>
      </w:r>
      <w:r>
        <w:t xml:space="preserve"> </w:t>
      </w:r>
      <w:r>
        <w:rPr>
          <w:rFonts w:ascii="Garamond" w:eastAsia="Garamond" w:hAnsi="Garamond" w:cs="Garamond"/>
        </w:rPr>
        <w:t>to be included in t</w:t>
      </w:r>
      <w:r>
        <w:rPr>
          <w:rFonts w:ascii="Garamond" w:eastAsia="Garamond" w:hAnsi="Garamond" w:cs="Garamond"/>
        </w:rPr>
        <w:t>he proposal.</w:t>
      </w:r>
    </w:p>
    <w:p w:rsidR="00A22F56" w:rsidRDefault="00A22F56">
      <w:pPr>
        <w:tabs>
          <w:tab w:val="left" w:pos="720"/>
        </w:tabs>
        <w:ind w:left="0" w:hanging="2"/>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The first page of the sealed dollar cost bid will include the following information:</w:t>
      </w:r>
    </w:p>
    <w:p w:rsidR="00A22F56" w:rsidRDefault="00A22F56">
      <w:pPr>
        <w:tabs>
          <w:tab w:val="left" w:pos="720"/>
        </w:tabs>
        <w:ind w:left="0" w:hanging="2"/>
        <w:rPr>
          <w:rFonts w:ascii="Garamond" w:eastAsia="Garamond" w:hAnsi="Garamond" w:cs="Garamond"/>
        </w:rPr>
      </w:pPr>
    </w:p>
    <w:p w:rsidR="00A22F56" w:rsidRDefault="00506037">
      <w:pPr>
        <w:numPr>
          <w:ilvl w:val="2"/>
          <w:numId w:val="16"/>
        </w:numPr>
        <w:tabs>
          <w:tab w:val="left" w:pos="720"/>
        </w:tabs>
        <w:ind w:left="0" w:hanging="2"/>
        <w:rPr>
          <w:rFonts w:ascii="Garamond" w:eastAsia="Garamond" w:hAnsi="Garamond" w:cs="Garamond"/>
        </w:rPr>
      </w:pPr>
      <w:r>
        <w:rPr>
          <w:rFonts w:ascii="Garamond" w:eastAsia="Garamond" w:hAnsi="Garamond" w:cs="Garamond"/>
        </w:rPr>
        <w:t>Name of the firm.</w:t>
      </w:r>
    </w:p>
    <w:p w:rsidR="00A22F56" w:rsidRDefault="00A22F56">
      <w:pPr>
        <w:tabs>
          <w:tab w:val="left" w:pos="720"/>
        </w:tabs>
        <w:ind w:left="0" w:hanging="2"/>
        <w:rPr>
          <w:rFonts w:ascii="Garamond" w:eastAsia="Garamond" w:hAnsi="Garamond" w:cs="Garamond"/>
        </w:rPr>
      </w:pPr>
    </w:p>
    <w:p w:rsidR="00A22F56" w:rsidRDefault="00506037">
      <w:pPr>
        <w:numPr>
          <w:ilvl w:val="2"/>
          <w:numId w:val="16"/>
        </w:numPr>
        <w:tabs>
          <w:tab w:val="left" w:pos="720"/>
        </w:tabs>
        <w:ind w:left="0" w:hanging="2"/>
        <w:rPr>
          <w:rFonts w:ascii="Garamond" w:eastAsia="Garamond" w:hAnsi="Garamond" w:cs="Garamond"/>
        </w:rPr>
      </w:pPr>
      <w:r>
        <w:rPr>
          <w:rFonts w:ascii="Garamond" w:eastAsia="Garamond" w:hAnsi="Garamond" w:cs="Garamond"/>
        </w:rPr>
        <w:t>Certification that the person signing the proposal is entitled to represent the firm empowered to submit the bid and authorized to sign a</w:t>
      </w:r>
      <w:r>
        <w:rPr>
          <w:rFonts w:ascii="Garamond" w:eastAsia="Garamond" w:hAnsi="Garamond" w:cs="Garamond"/>
        </w:rPr>
        <w:t xml:space="preserve"> contract with the BWRSD.</w:t>
      </w:r>
    </w:p>
    <w:p w:rsidR="00A22F56" w:rsidRDefault="00A22F56">
      <w:pPr>
        <w:tabs>
          <w:tab w:val="left" w:pos="720"/>
        </w:tabs>
        <w:ind w:left="0" w:hanging="2"/>
        <w:rPr>
          <w:rFonts w:ascii="Garamond" w:eastAsia="Garamond" w:hAnsi="Garamond" w:cs="Garamond"/>
        </w:rPr>
      </w:pPr>
    </w:p>
    <w:p w:rsidR="00A22F56" w:rsidRDefault="00506037">
      <w:pPr>
        <w:numPr>
          <w:ilvl w:val="2"/>
          <w:numId w:val="16"/>
        </w:numPr>
        <w:tabs>
          <w:tab w:val="left" w:pos="720"/>
        </w:tabs>
        <w:ind w:left="0" w:hanging="2"/>
        <w:rPr>
          <w:rFonts w:ascii="Garamond" w:eastAsia="Garamond" w:hAnsi="Garamond" w:cs="Garamond"/>
        </w:rPr>
      </w:pPr>
      <w:r>
        <w:rPr>
          <w:rFonts w:ascii="Garamond" w:eastAsia="Garamond" w:hAnsi="Garamond" w:cs="Garamond"/>
        </w:rPr>
        <w:t>A total all-inclusive maximum price for the 2021, 2022, and 2023 engagements.</w:t>
      </w:r>
    </w:p>
    <w:p w:rsidR="00A22F56" w:rsidRDefault="00A22F56">
      <w:pPr>
        <w:tabs>
          <w:tab w:val="left" w:pos="720"/>
        </w:tabs>
        <w:ind w:left="0" w:hanging="2"/>
        <w:rPr>
          <w:rFonts w:ascii="Garamond" w:eastAsia="Garamond" w:hAnsi="Garamond" w:cs="Garamond"/>
        </w:rPr>
      </w:pPr>
    </w:p>
    <w:p w:rsidR="00A22F56" w:rsidRDefault="00506037">
      <w:pPr>
        <w:numPr>
          <w:ilvl w:val="0"/>
          <w:numId w:val="16"/>
        </w:numPr>
        <w:ind w:left="0" w:hanging="2"/>
        <w:rPr>
          <w:rFonts w:ascii="Garamond" w:eastAsia="Garamond" w:hAnsi="Garamond" w:cs="Garamond"/>
        </w:rPr>
      </w:pPr>
      <w:r>
        <w:rPr>
          <w:rFonts w:ascii="Garamond" w:eastAsia="Garamond" w:hAnsi="Garamond" w:cs="Garamond"/>
        </w:rPr>
        <w:t>Rates by partner, manager, senior and staff level; times hours anticipated for each.</w:t>
      </w:r>
    </w:p>
    <w:p w:rsidR="00A22F56" w:rsidRDefault="00A22F56">
      <w:pPr>
        <w:tabs>
          <w:tab w:val="left" w:pos="720"/>
        </w:tabs>
        <w:ind w:left="0" w:hanging="2"/>
        <w:rPr>
          <w:rFonts w:ascii="Garamond" w:eastAsia="Garamond" w:hAnsi="Garamond" w:cs="Garamond"/>
        </w:rPr>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The second page of the sealed dollar cost bid should include a schedule of professional fees and expenses, presented in the format provided in the attachment (Appendix C) that supports the total all-inclusive maximum price.</w:t>
      </w:r>
    </w:p>
    <w:p w:rsidR="00A22F56" w:rsidRDefault="00A22F56">
      <w:pPr>
        <w:tabs>
          <w:tab w:val="left" w:pos="720"/>
        </w:tabs>
        <w:ind w:left="0" w:hanging="2"/>
        <w:rPr>
          <w:rFonts w:ascii="Garamond" w:eastAsia="Garamond" w:hAnsi="Garamond" w:cs="Garamond"/>
        </w:rPr>
      </w:pPr>
    </w:p>
    <w:p w:rsidR="00A22F56" w:rsidRDefault="00506037">
      <w:pPr>
        <w:numPr>
          <w:ilvl w:val="0"/>
          <w:numId w:val="16"/>
        </w:numPr>
        <w:ind w:left="0" w:hanging="2"/>
        <w:rPr>
          <w:rFonts w:ascii="Garamond" w:eastAsia="Garamond" w:hAnsi="Garamond" w:cs="Garamond"/>
        </w:rPr>
      </w:pPr>
      <w:r>
        <w:rPr>
          <w:rFonts w:ascii="Garamond" w:eastAsia="Garamond" w:hAnsi="Garamond" w:cs="Garamond"/>
        </w:rPr>
        <w:t xml:space="preserve">Out-of-pocket expense included </w:t>
      </w:r>
      <w:r>
        <w:rPr>
          <w:rFonts w:ascii="Garamond" w:eastAsia="Garamond" w:hAnsi="Garamond" w:cs="Garamond"/>
        </w:rPr>
        <w:t>in the total all-inclusive maximum price and reimbursement rates.</w:t>
      </w:r>
    </w:p>
    <w:p w:rsidR="00A22F56" w:rsidRDefault="00A22F56">
      <w:pPr>
        <w:tabs>
          <w:tab w:val="left" w:pos="720"/>
        </w:tabs>
        <w:ind w:left="0" w:hanging="2"/>
        <w:rPr>
          <w:rFonts w:ascii="Garamond" w:eastAsia="Garamond" w:hAnsi="Garamond" w:cs="Garamond"/>
        </w:rPr>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All expense reimbursements will be charged against the total all-inclusive maximum price submitted by the firm.</w:t>
      </w:r>
    </w:p>
    <w:p w:rsidR="00A22F56" w:rsidRDefault="00A22F56">
      <w:pPr>
        <w:tabs>
          <w:tab w:val="left" w:pos="720"/>
        </w:tabs>
        <w:ind w:left="0" w:hanging="2"/>
        <w:rPr>
          <w:rFonts w:ascii="Garamond" w:eastAsia="Garamond" w:hAnsi="Garamond" w:cs="Garamond"/>
        </w:rPr>
      </w:pPr>
    </w:p>
    <w:p w:rsidR="00A22F56" w:rsidRDefault="00506037">
      <w:pPr>
        <w:numPr>
          <w:ilvl w:val="0"/>
          <w:numId w:val="16"/>
        </w:numPr>
        <w:ind w:left="0" w:hanging="2"/>
        <w:rPr>
          <w:rFonts w:ascii="Garamond" w:eastAsia="Garamond" w:hAnsi="Garamond" w:cs="Garamond"/>
        </w:rPr>
      </w:pPr>
      <w:r>
        <w:rPr>
          <w:rFonts w:ascii="Garamond" w:eastAsia="Garamond" w:hAnsi="Garamond" w:cs="Garamond"/>
        </w:rPr>
        <w:t>Rates for additional professional services:</w:t>
      </w:r>
    </w:p>
    <w:p w:rsidR="00A22F56" w:rsidRDefault="00A22F56">
      <w:pPr>
        <w:tabs>
          <w:tab w:val="left" w:pos="720"/>
        </w:tabs>
        <w:ind w:left="0" w:hanging="2"/>
        <w:rPr>
          <w:rFonts w:ascii="Garamond" w:eastAsia="Garamond" w:hAnsi="Garamond" w:cs="Garamond"/>
        </w:rPr>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If it should become necessary f</w:t>
      </w:r>
      <w:r>
        <w:rPr>
          <w:rFonts w:ascii="Garamond" w:eastAsia="Garamond" w:hAnsi="Garamond" w:cs="Garamond"/>
        </w:rPr>
        <w:t xml:space="preserve">or the BWRSD to request the auditor to render any additional services to either supplement the services requested in this request for proposals or to perform additional work as a result of the specific recommendations included in any report issued on this </w:t>
      </w:r>
      <w:r>
        <w:rPr>
          <w:rFonts w:ascii="Garamond" w:eastAsia="Garamond" w:hAnsi="Garamond" w:cs="Garamond"/>
        </w:rPr>
        <w:t>engagement, then such additional work shall be performed only if set forth in an addendum to the contract between the BWRSD and the firm.  Any such additional work agreed to between the District and the firm shall be performed at the same rates set forth i</w:t>
      </w:r>
      <w:r>
        <w:rPr>
          <w:rFonts w:ascii="Garamond" w:eastAsia="Garamond" w:hAnsi="Garamond" w:cs="Garamond"/>
        </w:rPr>
        <w:t>n the schedule of fees and expenses included in the sealed dollar cost bid. Firms may quote different prices for certain times of the year.  In accordance with Government Auditing Standards, the firm providing non-audit services must evaluate whether provi</w:t>
      </w:r>
      <w:r>
        <w:rPr>
          <w:rFonts w:ascii="Garamond" w:eastAsia="Garamond" w:hAnsi="Garamond" w:cs="Garamond"/>
        </w:rPr>
        <w:t xml:space="preserve">ding the services creates an independence impairment either in fact or appearance with respect to the audit of the District.  </w:t>
      </w:r>
    </w:p>
    <w:p w:rsidR="00A22F56" w:rsidRDefault="00A22F56">
      <w:pPr>
        <w:tabs>
          <w:tab w:val="left" w:pos="720"/>
        </w:tabs>
        <w:ind w:left="0" w:hanging="2"/>
        <w:rPr>
          <w:rFonts w:ascii="Garamond" w:eastAsia="Garamond" w:hAnsi="Garamond" w:cs="Garamond"/>
        </w:rPr>
      </w:pPr>
    </w:p>
    <w:p w:rsidR="00A22F56" w:rsidRDefault="00506037">
      <w:pPr>
        <w:numPr>
          <w:ilvl w:val="0"/>
          <w:numId w:val="16"/>
        </w:numPr>
        <w:ind w:left="0" w:hanging="2"/>
        <w:rPr>
          <w:rFonts w:ascii="Garamond" w:eastAsia="Garamond" w:hAnsi="Garamond" w:cs="Garamond"/>
        </w:rPr>
      </w:pPr>
      <w:r>
        <w:rPr>
          <w:rFonts w:ascii="Garamond" w:eastAsia="Garamond" w:hAnsi="Garamond" w:cs="Garamond"/>
        </w:rPr>
        <w:t>Amendments to the contract:</w:t>
      </w:r>
    </w:p>
    <w:p w:rsidR="00A22F56" w:rsidRDefault="00A22F56">
      <w:pPr>
        <w:tabs>
          <w:tab w:val="left" w:pos="720"/>
        </w:tabs>
        <w:ind w:left="0" w:hanging="2"/>
        <w:rPr>
          <w:rFonts w:ascii="Garamond" w:eastAsia="Garamond" w:hAnsi="Garamond" w:cs="Garamond"/>
        </w:rPr>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Any amendments to the contract for additional work will be negotiated in good faith.  Provided, how</w:t>
      </w:r>
      <w:r>
        <w:rPr>
          <w:rFonts w:ascii="Garamond" w:eastAsia="Garamond" w:hAnsi="Garamond" w:cs="Garamond"/>
        </w:rPr>
        <w:t>ever, in the event that the parties cannot mutually agree on additional work to be performed and the cost for said work, then the District, as its option may rescind the option period.</w:t>
      </w:r>
    </w:p>
    <w:p w:rsidR="00A22F56" w:rsidRDefault="00A22F56">
      <w:pPr>
        <w:tabs>
          <w:tab w:val="left" w:pos="720"/>
        </w:tabs>
        <w:ind w:left="0" w:hanging="2"/>
        <w:rPr>
          <w:rFonts w:ascii="Garamond" w:eastAsia="Garamond" w:hAnsi="Garamond" w:cs="Garamond"/>
        </w:rPr>
      </w:pPr>
    </w:p>
    <w:p w:rsidR="00A22F56" w:rsidRDefault="00506037">
      <w:pPr>
        <w:numPr>
          <w:ilvl w:val="0"/>
          <w:numId w:val="16"/>
        </w:numPr>
        <w:ind w:left="0" w:hanging="2"/>
        <w:rPr>
          <w:rFonts w:ascii="Garamond" w:eastAsia="Garamond" w:hAnsi="Garamond" w:cs="Garamond"/>
        </w:rPr>
      </w:pPr>
      <w:r>
        <w:rPr>
          <w:rFonts w:ascii="Garamond" w:eastAsia="Garamond" w:hAnsi="Garamond" w:cs="Garamond"/>
        </w:rPr>
        <w:t>Manner of payment:</w:t>
      </w:r>
    </w:p>
    <w:p w:rsidR="00A22F56" w:rsidRDefault="00A22F56">
      <w:pPr>
        <w:tabs>
          <w:tab w:val="left" w:pos="720"/>
        </w:tabs>
        <w:ind w:left="0" w:hanging="2"/>
        <w:rPr>
          <w:rFonts w:ascii="Garamond" w:eastAsia="Garamond" w:hAnsi="Garamond" w:cs="Garamond"/>
        </w:rPr>
      </w:pPr>
    </w:p>
    <w:p w:rsidR="00A22F56" w:rsidRDefault="00506037">
      <w:pPr>
        <w:numPr>
          <w:ilvl w:val="1"/>
          <w:numId w:val="16"/>
        </w:numPr>
        <w:tabs>
          <w:tab w:val="left" w:pos="720"/>
        </w:tabs>
        <w:ind w:left="0" w:hanging="2"/>
        <w:rPr>
          <w:rFonts w:ascii="Garamond" w:eastAsia="Garamond" w:hAnsi="Garamond" w:cs="Garamond"/>
        </w:rPr>
      </w:pPr>
      <w:r>
        <w:rPr>
          <w:rFonts w:ascii="Garamond" w:eastAsia="Garamond" w:hAnsi="Garamond" w:cs="Garamond"/>
        </w:rPr>
        <w:t>Progress payments will be made on the basis of hou</w:t>
      </w:r>
      <w:r>
        <w:rPr>
          <w:rFonts w:ascii="Garamond" w:eastAsia="Garamond" w:hAnsi="Garamond" w:cs="Garamond"/>
        </w:rPr>
        <w:t>rs of work completed during the course of the engagement and out-of-pocket expenses incurred in accordance with the firm’s dollar cost bid proposal.  Interim billings shall cover a period of not less than a calendar month.</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VI. EVALUATION PROCEDURES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 xml:space="preserve">    </w:t>
      </w:r>
      <w:r>
        <w:rPr>
          <w:rFonts w:ascii="Garamond" w:eastAsia="Garamond" w:hAnsi="Garamond" w:cs="Garamond"/>
          <w:b/>
        </w:rPr>
        <w:t xml:space="preserve"> A.  Evaluation Criteria</w:t>
      </w:r>
    </w:p>
    <w:p w:rsidR="00A22F56" w:rsidRDefault="00A22F56">
      <w:pPr>
        <w:tabs>
          <w:tab w:val="left" w:pos="720"/>
        </w:tabs>
        <w:ind w:left="0" w:hanging="2"/>
        <w:rPr>
          <w:rFonts w:ascii="Garamond" w:eastAsia="Garamond" w:hAnsi="Garamond" w:cs="Garamond"/>
        </w:rPr>
      </w:pPr>
    </w:p>
    <w:p w:rsidR="00A22F56" w:rsidRDefault="00506037">
      <w:pPr>
        <w:numPr>
          <w:ilvl w:val="0"/>
          <w:numId w:val="5"/>
        </w:numPr>
        <w:ind w:left="0" w:hanging="2"/>
        <w:rPr>
          <w:rFonts w:ascii="Garamond" w:eastAsia="Garamond" w:hAnsi="Garamond" w:cs="Garamond"/>
        </w:rPr>
      </w:pPr>
      <w:r>
        <w:rPr>
          <w:rFonts w:ascii="Garamond" w:eastAsia="Garamond" w:hAnsi="Garamond" w:cs="Garamond"/>
        </w:rPr>
        <w:t xml:space="preserve">An evaluation committee will be comprised of individuals knowledgeable about auditing and financial reporting matters.  Proposals will be evaluated using three sets of criteria.  Firms meeting the mandatory criteria will have their proposals evaluated and </w:t>
      </w:r>
      <w:r>
        <w:rPr>
          <w:rFonts w:ascii="Garamond" w:eastAsia="Garamond" w:hAnsi="Garamond" w:cs="Garamond"/>
        </w:rPr>
        <w:t>scored for technical qualifications, audit approach, and price.  The following represents the principal selection criteria which will be considered during the evaluation process.</w:t>
      </w:r>
    </w:p>
    <w:p w:rsidR="00A22F56" w:rsidRDefault="00A22F56">
      <w:pPr>
        <w:tabs>
          <w:tab w:val="left" w:pos="720"/>
        </w:tabs>
        <w:ind w:left="0" w:hanging="2"/>
      </w:pPr>
    </w:p>
    <w:p w:rsidR="00A22F56" w:rsidRDefault="00506037">
      <w:pPr>
        <w:numPr>
          <w:ilvl w:val="1"/>
          <w:numId w:val="5"/>
        </w:numPr>
        <w:tabs>
          <w:tab w:val="left" w:pos="720"/>
        </w:tabs>
        <w:ind w:left="0" w:hanging="2"/>
        <w:rPr>
          <w:rFonts w:ascii="Garamond" w:eastAsia="Garamond" w:hAnsi="Garamond" w:cs="Garamond"/>
        </w:rPr>
      </w:pPr>
      <w:r>
        <w:rPr>
          <w:rFonts w:ascii="Garamond" w:eastAsia="Garamond" w:hAnsi="Garamond" w:cs="Garamond"/>
        </w:rPr>
        <w:t>Mandatory Elements:</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The firm is independent and licensed to practice in Rhode Island.</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The firm’s professional personnel have received adequate continuing professional education within the preceding two years.</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The firm has no conflict of interest with regard to any other wor</w:t>
      </w:r>
      <w:r>
        <w:rPr>
          <w:rFonts w:ascii="Garamond" w:eastAsia="Garamond" w:hAnsi="Garamond" w:cs="Garamond"/>
        </w:rPr>
        <w:t>k performed by the firm for the BWRSD.</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The firm submits a copy of its most recent external quality control review report and the firm has a record of quality audit work.</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The firm adheres to the instruction in this request for proposals on preparing and s</w:t>
      </w:r>
      <w:r>
        <w:rPr>
          <w:rFonts w:ascii="Garamond" w:eastAsia="Garamond" w:hAnsi="Garamond" w:cs="Garamond"/>
        </w:rPr>
        <w:t>ubmitting the proposal.</w:t>
      </w:r>
    </w:p>
    <w:p w:rsidR="00A22F56" w:rsidRDefault="00A22F56">
      <w:pPr>
        <w:tabs>
          <w:tab w:val="left" w:pos="720"/>
        </w:tabs>
        <w:ind w:left="0" w:hanging="2"/>
        <w:rPr>
          <w:rFonts w:ascii="Garamond" w:eastAsia="Garamond" w:hAnsi="Garamond" w:cs="Garamond"/>
        </w:rPr>
      </w:pPr>
    </w:p>
    <w:p w:rsidR="00A22F56" w:rsidRDefault="00506037">
      <w:pPr>
        <w:numPr>
          <w:ilvl w:val="0"/>
          <w:numId w:val="5"/>
        </w:numPr>
        <w:ind w:left="0" w:hanging="2"/>
        <w:rPr>
          <w:rFonts w:ascii="Garamond" w:eastAsia="Garamond" w:hAnsi="Garamond" w:cs="Garamond"/>
        </w:rPr>
      </w:pPr>
      <w:r>
        <w:rPr>
          <w:rFonts w:ascii="Garamond" w:eastAsia="Garamond" w:hAnsi="Garamond" w:cs="Garamond"/>
        </w:rPr>
        <w:t>Technical Qualifications:</w:t>
      </w:r>
    </w:p>
    <w:p w:rsidR="00A22F56" w:rsidRDefault="00506037">
      <w:pPr>
        <w:tabs>
          <w:tab w:val="left" w:pos="720"/>
        </w:tabs>
        <w:ind w:left="0" w:hanging="2"/>
        <w:rPr>
          <w:rFonts w:ascii="Garamond" w:eastAsia="Garamond" w:hAnsi="Garamond" w:cs="Garamond"/>
        </w:rPr>
      </w:pPr>
      <w:r>
        <w:rPr>
          <w:rFonts w:ascii="Garamond" w:eastAsia="Garamond" w:hAnsi="Garamond" w:cs="Garamond"/>
        </w:rPr>
        <w:tab/>
        <w:t xml:space="preserve">   </w:t>
      </w:r>
    </w:p>
    <w:p w:rsidR="00A22F56" w:rsidRDefault="00506037">
      <w:pPr>
        <w:numPr>
          <w:ilvl w:val="1"/>
          <w:numId w:val="5"/>
        </w:numPr>
        <w:tabs>
          <w:tab w:val="left" w:pos="720"/>
        </w:tabs>
        <w:ind w:left="0" w:hanging="2"/>
        <w:rPr>
          <w:rFonts w:ascii="Garamond" w:eastAsia="Garamond" w:hAnsi="Garamond" w:cs="Garamond"/>
        </w:rPr>
      </w:pPr>
      <w:r>
        <w:rPr>
          <w:rFonts w:ascii="Garamond" w:eastAsia="Garamond" w:hAnsi="Garamond" w:cs="Garamond"/>
        </w:rPr>
        <w:t>Expertise and Experience:</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The firm’s past experience and performance on comparable government engagements including the issuance of a comprehensive annual financial report.</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The quality of the firm’s</w:t>
      </w:r>
      <w:r>
        <w:rPr>
          <w:rFonts w:ascii="Garamond" w:eastAsia="Garamond" w:hAnsi="Garamond" w:cs="Garamond"/>
        </w:rPr>
        <w:t xml:space="preserve"> professional personnel to be assigned to the engagement and the quality of the firm’s management support personnel to be available for technical consultation.</w:t>
      </w:r>
    </w:p>
    <w:p w:rsidR="00A22F56" w:rsidRDefault="00A22F56">
      <w:pPr>
        <w:tabs>
          <w:tab w:val="left" w:pos="720"/>
        </w:tabs>
        <w:ind w:left="0" w:hanging="2"/>
        <w:rPr>
          <w:rFonts w:ascii="Garamond" w:eastAsia="Garamond" w:hAnsi="Garamond" w:cs="Garamond"/>
        </w:rPr>
      </w:pPr>
    </w:p>
    <w:p w:rsidR="00A22F56" w:rsidRDefault="00506037">
      <w:pPr>
        <w:numPr>
          <w:ilvl w:val="1"/>
          <w:numId w:val="5"/>
        </w:numPr>
        <w:tabs>
          <w:tab w:val="left" w:pos="720"/>
        </w:tabs>
        <w:ind w:left="0" w:hanging="2"/>
        <w:rPr>
          <w:rFonts w:ascii="Garamond" w:eastAsia="Garamond" w:hAnsi="Garamond" w:cs="Garamond"/>
        </w:rPr>
      </w:pPr>
      <w:r>
        <w:rPr>
          <w:rFonts w:ascii="Garamond" w:eastAsia="Garamond" w:hAnsi="Garamond" w:cs="Garamond"/>
        </w:rPr>
        <w:t>Audit Approach:</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Adequacy of proposed staffing plan for various segments of the engagement.</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Adequacy of sampling techniques.</w:t>
      </w:r>
    </w:p>
    <w:p w:rsidR="00A22F56" w:rsidRDefault="00A22F56">
      <w:pPr>
        <w:tabs>
          <w:tab w:val="left" w:pos="720"/>
        </w:tabs>
        <w:ind w:left="0" w:hanging="2"/>
        <w:rPr>
          <w:rFonts w:ascii="Garamond" w:eastAsia="Garamond" w:hAnsi="Garamond" w:cs="Garamond"/>
        </w:rPr>
      </w:pPr>
    </w:p>
    <w:p w:rsidR="00A22F56" w:rsidRDefault="00506037">
      <w:pPr>
        <w:numPr>
          <w:ilvl w:val="2"/>
          <w:numId w:val="5"/>
        </w:numPr>
        <w:tabs>
          <w:tab w:val="left" w:pos="720"/>
        </w:tabs>
        <w:ind w:left="0" w:hanging="2"/>
        <w:rPr>
          <w:rFonts w:ascii="Garamond" w:eastAsia="Garamond" w:hAnsi="Garamond" w:cs="Garamond"/>
        </w:rPr>
      </w:pPr>
      <w:r>
        <w:rPr>
          <w:rFonts w:ascii="Garamond" w:eastAsia="Garamond" w:hAnsi="Garamond" w:cs="Garamond"/>
        </w:rPr>
        <w:t>Adequacy of analytical procedures.</w:t>
      </w:r>
    </w:p>
    <w:p w:rsidR="00A22F56" w:rsidRDefault="00A22F56">
      <w:pPr>
        <w:tabs>
          <w:tab w:val="left" w:pos="720"/>
        </w:tabs>
        <w:ind w:left="0" w:hanging="2"/>
        <w:rPr>
          <w:rFonts w:ascii="Garamond" w:eastAsia="Garamond" w:hAnsi="Garamond" w:cs="Garamond"/>
        </w:rPr>
      </w:pPr>
    </w:p>
    <w:p w:rsidR="00A22F56" w:rsidRDefault="00506037">
      <w:pPr>
        <w:numPr>
          <w:ilvl w:val="0"/>
          <w:numId w:val="5"/>
        </w:numPr>
        <w:ind w:left="0" w:hanging="2"/>
        <w:rPr>
          <w:rFonts w:ascii="Garamond" w:eastAsia="Garamond" w:hAnsi="Garamond" w:cs="Garamond"/>
        </w:rPr>
      </w:pPr>
      <w:r>
        <w:rPr>
          <w:rFonts w:ascii="Garamond" w:eastAsia="Garamond" w:hAnsi="Garamond" w:cs="Garamond"/>
        </w:rPr>
        <w:t>Price:</w:t>
      </w:r>
    </w:p>
    <w:p w:rsidR="00A22F56" w:rsidRDefault="00506037">
      <w:pPr>
        <w:numPr>
          <w:ilvl w:val="1"/>
          <w:numId w:val="5"/>
        </w:numPr>
        <w:tabs>
          <w:tab w:val="left" w:pos="720"/>
        </w:tabs>
        <w:ind w:left="0" w:hanging="2"/>
        <w:rPr>
          <w:rFonts w:ascii="Garamond" w:eastAsia="Garamond" w:hAnsi="Garamond" w:cs="Garamond"/>
        </w:rPr>
      </w:pPr>
      <w:r>
        <w:rPr>
          <w:rFonts w:ascii="Garamond" w:eastAsia="Garamond" w:hAnsi="Garamond" w:cs="Garamond"/>
        </w:rPr>
        <w:t>Cost will not be the primary factor in the selection of an audit firm.</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Proposals will be evaluated using the following scoring weights resulting in a maximum score of 100 points:</w:t>
      </w:r>
    </w:p>
    <w:p w:rsidR="00A22F56" w:rsidRDefault="00A22F56">
      <w:pPr>
        <w:ind w:left="0" w:hanging="2"/>
        <w:rPr>
          <w:rFonts w:ascii="Garamond" w:eastAsia="Garamond" w:hAnsi="Garamond" w:cs="Garamond"/>
        </w:rPr>
      </w:pPr>
    </w:p>
    <w:tbl>
      <w:tblPr>
        <w:tblStyle w:val="a5"/>
        <w:tblW w:w="80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19"/>
        <w:gridCol w:w="1996"/>
      </w:tblGrid>
      <w:tr w:rsidR="00A22F56">
        <w:trPr>
          <w:trHeight w:val="171"/>
          <w:jc w:val="center"/>
        </w:trPr>
        <w:tc>
          <w:tcPr>
            <w:tcW w:w="6019" w:type="dxa"/>
          </w:tcPr>
          <w:p w:rsidR="00A22F56" w:rsidRDefault="00A22F56">
            <w:pPr>
              <w:ind w:left="0" w:hanging="2"/>
              <w:rPr>
                <w:rFonts w:ascii="Garamond" w:eastAsia="Garamond" w:hAnsi="Garamond" w:cs="Garamond"/>
              </w:rPr>
            </w:pPr>
          </w:p>
        </w:tc>
        <w:tc>
          <w:tcPr>
            <w:tcW w:w="1996" w:type="dxa"/>
          </w:tcPr>
          <w:p w:rsidR="00A22F56" w:rsidRDefault="00506037">
            <w:pPr>
              <w:ind w:left="0" w:hanging="2"/>
              <w:jc w:val="center"/>
              <w:rPr>
                <w:rFonts w:ascii="Garamond" w:eastAsia="Garamond" w:hAnsi="Garamond" w:cs="Garamond"/>
              </w:rPr>
            </w:pPr>
            <w:r>
              <w:rPr>
                <w:rFonts w:ascii="Garamond" w:eastAsia="Garamond" w:hAnsi="Garamond" w:cs="Garamond"/>
                <w:b/>
              </w:rPr>
              <w:t>Maximum points</w:t>
            </w:r>
          </w:p>
        </w:tc>
      </w:tr>
      <w:tr w:rsidR="00A22F56">
        <w:trPr>
          <w:trHeight w:val="455"/>
          <w:jc w:val="center"/>
        </w:trPr>
        <w:tc>
          <w:tcPr>
            <w:tcW w:w="6019" w:type="dxa"/>
          </w:tcPr>
          <w:p w:rsidR="00A22F56" w:rsidRDefault="00506037">
            <w:pPr>
              <w:ind w:left="0" w:hanging="2"/>
              <w:rPr>
                <w:rFonts w:ascii="Garamond" w:eastAsia="Garamond" w:hAnsi="Garamond" w:cs="Garamond"/>
              </w:rPr>
            </w:pPr>
            <w:r>
              <w:rPr>
                <w:rFonts w:ascii="Garamond" w:eastAsia="Garamond" w:hAnsi="Garamond" w:cs="Garamond"/>
              </w:rPr>
              <w:t>Overall qualifications and experience of the firm and the specific engagement personnel to be assigned focusing on experiences with governmental entities and the specific line of business or services provided by the entity to be audited.</w:t>
            </w:r>
          </w:p>
        </w:tc>
        <w:tc>
          <w:tcPr>
            <w:tcW w:w="1996" w:type="dxa"/>
            <w:vAlign w:val="center"/>
          </w:tcPr>
          <w:p w:rsidR="00A22F56" w:rsidRDefault="00506037">
            <w:pPr>
              <w:ind w:left="0" w:hanging="2"/>
              <w:rPr>
                <w:rFonts w:ascii="Garamond" w:eastAsia="Garamond" w:hAnsi="Garamond" w:cs="Garamond"/>
              </w:rPr>
            </w:pPr>
            <w:r>
              <w:rPr>
                <w:rFonts w:ascii="Garamond" w:eastAsia="Garamond" w:hAnsi="Garamond" w:cs="Garamond"/>
              </w:rPr>
              <w:t>40</w:t>
            </w:r>
          </w:p>
        </w:tc>
      </w:tr>
      <w:tr w:rsidR="00A22F56">
        <w:trPr>
          <w:trHeight w:val="165"/>
          <w:jc w:val="center"/>
        </w:trPr>
        <w:tc>
          <w:tcPr>
            <w:tcW w:w="6019" w:type="dxa"/>
          </w:tcPr>
          <w:p w:rsidR="00A22F56" w:rsidRDefault="00506037">
            <w:pPr>
              <w:ind w:left="0" w:hanging="2"/>
              <w:rPr>
                <w:rFonts w:ascii="Garamond" w:eastAsia="Garamond" w:hAnsi="Garamond" w:cs="Garamond"/>
              </w:rPr>
            </w:pPr>
            <w:r>
              <w:rPr>
                <w:rFonts w:ascii="Garamond" w:eastAsia="Garamond" w:hAnsi="Garamond" w:cs="Garamond"/>
              </w:rPr>
              <w:t>Overall audit approach and audit strategy described/outlined in the proposal and firm capacity to perform the engagement within the specified timeframe (prior experience of the firm in meeting timelines should be factored in here)</w:t>
            </w:r>
          </w:p>
        </w:tc>
        <w:tc>
          <w:tcPr>
            <w:tcW w:w="1996" w:type="dxa"/>
            <w:vAlign w:val="center"/>
          </w:tcPr>
          <w:p w:rsidR="00A22F56" w:rsidRDefault="00506037">
            <w:pPr>
              <w:ind w:left="0" w:hanging="2"/>
              <w:rPr>
                <w:rFonts w:ascii="Garamond" w:eastAsia="Garamond" w:hAnsi="Garamond" w:cs="Garamond"/>
              </w:rPr>
            </w:pPr>
            <w:r>
              <w:rPr>
                <w:rFonts w:ascii="Garamond" w:eastAsia="Garamond" w:hAnsi="Garamond" w:cs="Garamond"/>
              </w:rPr>
              <w:t>30</w:t>
            </w:r>
          </w:p>
        </w:tc>
      </w:tr>
      <w:tr w:rsidR="00A22F56">
        <w:trPr>
          <w:trHeight w:val="165"/>
          <w:jc w:val="center"/>
        </w:trPr>
        <w:tc>
          <w:tcPr>
            <w:tcW w:w="6019" w:type="dxa"/>
          </w:tcPr>
          <w:p w:rsidR="00A22F56" w:rsidRDefault="00506037">
            <w:pPr>
              <w:ind w:left="0" w:hanging="2"/>
              <w:rPr>
                <w:rFonts w:ascii="Garamond" w:eastAsia="Garamond" w:hAnsi="Garamond" w:cs="Garamond"/>
              </w:rPr>
            </w:pPr>
            <w:r>
              <w:rPr>
                <w:rFonts w:ascii="Garamond" w:eastAsia="Garamond" w:hAnsi="Garamond" w:cs="Garamond"/>
              </w:rPr>
              <w:t>Audit fees - See formula for points awarded for audit fees (*) 30</w:t>
            </w:r>
          </w:p>
        </w:tc>
        <w:tc>
          <w:tcPr>
            <w:tcW w:w="1996" w:type="dxa"/>
            <w:vAlign w:val="center"/>
          </w:tcPr>
          <w:p w:rsidR="00A22F56" w:rsidRDefault="00506037">
            <w:pPr>
              <w:ind w:left="0" w:hanging="2"/>
              <w:rPr>
                <w:rFonts w:ascii="Garamond" w:eastAsia="Garamond" w:hAnsi="Garamond" w:cs="Garamond"/>
              </w:rPr>
            </w:pPr>
            <w:r>
              <w:rPr>
                <w:rFonts w:ascii="Garamond" w:eastAsia="Garamond" w:hAnsi="Garamond" w:cs="Garamond"/>
              </w:rPr>
              <w:t>30</w:t>
            </w:r>
          </w:p>
        </w:tc>
      </w:tr>
      <w:tr w:rsidR="00A22F56">
        <w:trPr>
          <w:trHeight w:val="165"/>
          <w:jc w:val="center"/>
        </w:trPr>
        <w:tc>
          <w:tcPr>
            <w:tcW w:w="6019" w:type="dxa"/>
          </w:tcPr>
          <w:p w:rsidR="00A22F56" w:rsidRDefault="00506037">
            <w:pPr>
              <w:ind w:left="0" w:hanging="2"/>
              <w:rPr>
                <w:rFonts w:ascii="Garamond" w:eastAsia="Garamond" w:hAnsi="Garamond" w:cs="Garamond"/>
              </w:rPr>
            </w:pPr>
            <w:r>
              <w:rPr>
                <w:rFonts w:ascii="Garamond" w:eastAsia="Garamond" w:hAnsi="Garamond" w:cs="Garamond"/>
                <w:b/>
              </w:rPr>
              <w:t>Maximum evaluation points 100</w:t>
            </w:r>
          </w:p>
        </w:tc>
        <w:tc>
          <w:tcPr>
            <w:tcW w:w="1996" w:type="dxa"/>
            <w:vAlign w:val="center"/>
          </w:tcPr>
          <w:p w:rsidR="00A22F56" w:rsidRDefault="00506037">
            <w:pPr>
              <w:ind w:left="0" w:hanging="2"/>
              <w:rPr>
                <w:rFonts w:ascii="Garamond" w:eastAsia="Garamond" w:hAnsi="Garamond" w:cs="Garamond"/>
              </w:rPr>
            </w:pPr>
            <w:r>
              <w:rPr>
                <w:rFonts w:ascii="Garamond" w:eastAsia="Garamond" w:hAnsi="Garamond" w:cs="Garamond"/>
                <w:b/>
              </w:rPr>
              <w:t>100</w:t>
            </w:r>
          </w:p>
        </w:tc>
      </w:tr>
    </w:tbl>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 Evaluation technique – audit fees</w:t>
      </w:r>
    </w:p>
    <w:p w:rsidR="00A22F56" w:rsidRDefault="00506037">
      <w:pPr>
        <w:ind w:left="0" w:hanging="2"/>
        <w:rPr>
          <w:rFonts w:ascii="Garamond" w:eastAsia="Garamond" w:hAnsi="Garamond" w:cs="Garamond"/>
        </w:rPr>
      </w:pPr>
      <w:r>
        <w:rPr>
          <w:rFonts w:ascii="Garamond" w:eastAsia="Garamond" w:hAnsi="Garamond" w:cs="Garamond"/>
        </w:rPr>
        <w:t>Audit fee score = (lowest qualified bid/bid for firm being evaluated) X 30 points</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b/>
          <w:i/>
        </w:rPr>
        <w:t xml:space="preserve">Example: </w:t>
      </w:r>
      <w:r>
        <w:rPr>
          <w:rFonts w:ascii="Garamond" w:eastAsia="Garamond" w:hAnsi="Garamond" w:cs="Garamond"/>
        </w:rPr>
        <w:t>Assuming 3 bids receiv</w:t>
      </w:r>
      <w:r>
        <w:rPr>
          <w:rFonts w:ascii="Garamond" w:eastAsia="Garamond" w:hAnsi="Garamond" w:cs="Garamond"/>
        </w:rPr>
        <w:t>ed were: (firm A) - $40,000, (firm B) - $46,000, (firm C) - $50,000</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Firm A (the lowest bidder)</w:t>
      </w:r>
      <w:r>
        <w:rPr>
          <w:rFonts w:ascii="Garamond" w:eastAsia="Garamond" w:hAnsi="Garamond" w:cs="Garamond"/>
        </w:rPr>
        <w:tab/>
        <w:t xml:space="preserve">awarded 30 points </w:t>
      </w:r>
      <w:r>
        <w:rPr>
          <w:rFonts w:ascii="Garamond" w:eastAsia="Garamond" w:hAnsi="Garamond" w:cs="Garamond"/>
        </w:rPr>
        <w:tab/>
        <w:t>$40,000/$40,000 X 30 points = 30</w:t>
      </w:r>
    </w:p>
    <w:p w:rsidR="00A22F56" w:rsidRDefault="00506037">
      <w:pPr>
        <w:ind w:left="0" w:hanging="2"/>
        <w:rPr>
          <w:rFonts w:ascii="Garamond" w:eastAsia="Garamond" w:hAnsi="Garamond" w:cs="Garamond"/>
        </w:rPr>
      </w:pPr>
      <w:r>
        <w:rPr>
          <w:rFonts w:ascii="Garamond" w:eastAsia="Garamond" w:hAnsi="Garamond" w:cs="Garamond"/>
        </w:rPr>
        <w:t>Firm B</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 xml:space="preserve">awarded 26 points </w:t>
      </w:r>
      <w:r>
        <w:rPr>
          <w:rFonts w:ascii="Garamond" w:eastAsia="Garamond" w:hAnsi="Garamond" w:cs="Garamond"/>
        </w:rPr>
        <w:tab/>
        <w:t>$40,000/$46,000 X 30 points = 26</w:t>
      </w:r>
    </w:p>
    <w:p w:rsidR="00A22F56" w:rsidRDefault="00506037">
      <w:pPr>
        <w:ind w:left="0" w:hanging="2"/>
        <w:rPr>
          <w:rFonts w:ascii="Garamond" w:eastAsia="Garamond" w:hAnsi="Garamond" w:cs="Garamond"/>
        </w:rPr>
      </w:pPr>
      <w:r>
        <w:rPr>
          <w:rFonts w:ascii="Garamond" w:eastAsia="Garamond" w:hAnsi="Garamond" w:cs="Garamond"/>
        </w:rPr>
        <w:t xml:space="preserve">Firm C </w:t>
      </w:r>
      <w:r>
        <w:rPr>
          <w:rFonts w:ascii="Garamond" w:eastAsia="Garamond" w:hAnsi="Garamond" w:cs="Garamond"/>
        </w:rPr>
        <w:tab/>
      </w:r>
      <w:r>
        <w:rPr>
          <w:rFonts w:ascii="Garamond" w:eastAsia="Garamond" w:hAnsi="Garamond" w:cs="Garamond"/>
        </w:rPr>
        <w:tab/>
      </w:r>
      <w:r>
        <w:rPr>
          <w:rFonts w:ascii="Garamond" w:eastAsia="Garamond" w:hAnsi="Garamond" w:cs="Garamond"/>
        </w:rPr>
        <w:tab/>
        <w:t xml:space="preserve">awarded 24 points </w:t>
      </w:r>
      <w:r>
        <w:rPr>
          <w:rFonts w:ascii="Garamond" w:eastAsia="Garamond" w:hAnsi="Garamond" w:cs="Garamond"/>
        </w:rPr>
        <w:tab/>
        <w:t>$40,000/$50,000 X</w:t>
      </w:r>
      <w:r>
        <w:rPr>
          <w:rFonts w:ascii="Garamond" w:eastAsia="Garamond" w:hAnsi="Garamond" w:cs="Garamond"/>
        </w:rPr>
        <w:t xml:space="preserve"> 30 points = 24</w:t>
      </w:r>
    </w:p>
    <w:p w:rsidR="00A22F56" w:rsidRDefault="00A22F56">
      <w:pPr>
        <w:ind w:left="0" w:hanging="2"/>
        <w:rPr>
          <w:rFonts w:ascii="Garamond" w:eastAsia="Garamond" w:hAnsi="Garamond" w:cs="Garamond"/>
        </w:rPr>
      </w:pPr>
    </w:p>
    <w:p w:rsidR="00A22F56" w:rsidRDefault="00506037">
      <w:pPr>
        <w:ind w:left="0" w:hanging="2"/>
        <w:rPr>
          <w:rFonts w:ascii="Garamond" w:eastAsia="Garamond" w:hAnsi="Garamond" w:cs="Garamond"/>
        </w:rPr>
      </w:pPr>
      <w:r>
        <w:rPr>
          <w:rFonts w:ascii="Garamond" w:eastAsia="Garamond" w:hAnsi="Garamond" w:cs="Garamond"/>
        </w:rPr>
        <w:t>An evaluation grid will be prepared summarizing the scoring by each member of the evaluation committee and the composite ranking.  If any firm is disqualified and therefore not evaluated, the reason for such action shall be documented.</w:t>
      </w:r>
    </w:p>
    <w:p w:rsidR="00A22F56" w:rsidRDefault="00A22F56">
      <w:pPr>
        <w:ind w:left="0" w:hanging="2"/>
        <w:rPr>
          <w:rFonts w:ascii="Garamond" w:eastAsia="Garamond" w:hAnsi="Garamond" w:cs="Garamond"/>
        </w:rPr>
      </w:pPr>
    </w:p>
    <w:p w:rsidR="00A22F56" w:rsidRDefault="00A22F56">
      <w:pPr>
        <w:ind w:left="0" w:hanging="2"/>
        <w:rPr>
          <w:rFonts w:ascii="Garamond" w:eastAsia="Garamond" w:hAnsi="Garamond" w:cs="Garamond"/>
        </w:rPr>
      </w:pPr>
    </w:p>
    <w:p w:rsidR="00A22F56" w:rsidRDefault="00506037">
      <w:pPr>
        <w:numPr>
          <w:ilvl w:val="0"/>
          <w:numId w:val="5"/>
        </w:numPr>
        <w:ind w:left="0" w:hanging="2"/>
        <w:rPr>
          <w:rFonts w:ascii="Garamond" w:eastAsia="Garamond" w:hAnsi="Garamond" w:cs="Garamond"/>
        </w:rPr>
      </w:pPr>
      <w:r>
        <w:rPr>
          <w:rFonts w:ascii="Garamond" w:eastAsia="Garamond" w:hAnsi="Garamond" w:cs="Garamond"/>
        </w:rPr>
        <w:t>Oral Presentations:</w:t>
      </w:r>
    </w:p>
    <w:p w:rsidR="00A22F56" w:rsidRDefault="00506037">
      <w:pPr>
        <w:numPr>
          <w:ilvl w:val="1"/>
          <w:numId w:val="5"/>
        </w:numPr>
        <w:tabs>
          <w:tab w:val="left" w:pos="720"/>
        </w:tabs>
        <w:ind w:left="0" w:hanging="2"/>
        <w:rPr>
          <w:rFonts w:ascii="Garamond" w:eastAsia="Garamond" w:hAnsi="Garamond" w:cs="Garamond"/>
        </w:rPr>
      </w:pPr>
      <w:r>
        <w:rPr>
          <w:rFonts w:ascii="Garamond" w:eastAsia="Garamond" w:hAnsi="Garamond" w:cs="Garamond"/>
        </w:rPr>
        <w:t xml:space="preserve">During the evaluation process, the District may, at its discretion, request any one or all firms to make an oral presentation.  Such a presentation will provide the firms with an opportunity to answer any question the District may have </w:t>
      </w:r>
      <w:r>
        <w:rPr>
          <w:rFonts w:ascii="Garamond" w:eastAsia="Garamond" w:hAnsi="Garamond" w:cs="Garamond"/>
        </w:rPr>
        <w:t>on the firm’s proposal.  Not all firms may be asked to make such an oral presentation.</w:t>
      </w:r>
    </w:p>
    <w:p w:rsidR="00A22F56" w:rsidRDefault="00A22F56">
      <w:pPr>
        <w:tabs>
          <w:tab w:val="left" w:pos="720"/>
        </w:tabs>
        <w:ind w:left="0" w:hanging="2"/>
        <w:rPr>
          <w:rFonts w:ascii="Garamond" w:eastAsia="Garamond" w:hAnsi="Garamond" w:cs="Garamond"/>
        </w:rPr>
      </w:pPr>
    </w:p>
    <w:p w:rsidR="00A22F56" w:rsidRDefault="00506037">
      <w:pPr>
        <w:numPr>
          <w:ilvl w:val="0"/>
          <w:numId w:val="5"/>
        </w:numPr>
        <w:ind w:left="0" w:hanging="2"/>
        <w:rPr>
          <w:rFonts w:ascii="Garamond" w:eastAsia="Garamond" w:hAnsi="Garamond" w:cs="Garamond"/>
        </w:rPr>
      </w:pPr>
      <w:r>
        <w:rPr>
          <w:rFonts w:ascii="Garamond" w:eastAsia="Garamond" w:hAnsi="Garamond" w:cs="Garamond"/>
        </w:rPr>
        <w:t>Final Selection:</w:t>
      </w:r>
    </w:p>
    <w:p w:rsidR="00A22F56" w:rsidRDefault="00506037">
      <w:pPr>
        <w:numPr>
          <w:ilvl w:val="1"/>
          <w:numId w:val="5"/>
        </w:numPr>
        <w:tabs>
          <w:tab w:val="left" w:pos="720"/>
        </w:tabs>
        <w:ind w:left="0" w:hanging="2"/>
        <w:rPr>
          <w:rFonts w:ascii="Garamond" w:eastAsia="Garamond" w:hAnsi="Garamond" w:cs="Garamond"/>
        </w:rPr>
      </w:pPr>
      <w:r>
        <w:rPr>
          <w:rFonts w:ascii="Garamond" w:eastAsia="Garamond" w:hAnsi="Garamond" w:cs="Garamond"/>
        </w:rPr>
        <w:t>The BWRSD will select a firm based upon the recommendation of the evaluation committee.</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VII.     RIGHT TO REJECT PROPOSALS</w:t>
      </w:r>
    </w:p>
    <w:p w:rsidR="00A22F56" w:rsidRDefault="00A22F56">
      <w:pPr>
        <w:tabs>
          <w:tab w:val="left" w:pos="720"/>
        </w:tabs>
        <w:ind w:left="0" w:hanging="2"/>
      </w:pPr>
    </w:p>
    <w:p w:rsidR="00A22F56" w:rsidRDefault="00506037">
      <w:pPr>
        <w:numPr>
          <w:ilvl w:val="0"/>
          <w:numId w:val="9"/>
        </w:numPr>
        <w:ind w:left="0" w:hanging="2"/>
        <w:rPr>
          <w:rFonts w:ascii="Garamond" w:eastAsia="Garamond" w:hAnsi="Garamond" w:cs="Garamond"/>
        </w:rPr>
      </w:pPr>
      <w:r>
        <w:rPr>
          <w:rFonts w:ascii="Garamond" w:eastAsia="Garamond" w:hAnsi="Garamond" w:cs="Garamond"/>
        </w:rPr>
        <w:t>Submission of a proposal indicates acceptance by the firm of the conditions contained in this request for proposals unless clearly and specifically noted in the proposal submitted and confirmed in the contract between the District and the firm selected.</w:t>
      </w:r>
    </w:p>
    <w:p w:rsidR="00A22F56" w:rsidRDefault="00A22F56">
      <w:pPr>
        <w:tabs>
          <w:tab w:val="left" w:pos="720"/>
        </w:tabs>
        <w:ind w:left="0" w:hanging="2"/>
        <w:rPr>
          <w:rFonts w:ascii="Garamond" w:eastAsia="Garamond" w:hAnsi="Garamond" w:cs="Garamond"/>
        </w:rPr>
      </w:pPr>
    </w:p>
    <w:p w:rsidR="00A22F56" w:rsidRDefault="00506037">
      <w:pPr>
        <w:numPr>
          <w:ilvl w:val="0"/>
          <w:numId w:val="9"/>
        </w:numPr>
        <w:ind w:left="0" w:hanging="2"/>
        <w:rPr>
          <w:rFonts w:ascii="Garamond" w:eastAsia="Garamond" w:hAnsi="Garamond" w:cs="Garamond"/>
        </w:rPr>
      </w:pPr>
      <w:r>
        <w:rPr>
          <w:rFonts w:ascii="Garamond" w:eastAsia="Garamond" w:hAnsi="Garamond" w:cs="Garamond"/>
        </w:rPr>
        <w:t>T</w:t>
      </w:r>
      <w:r>
        <w:rPr>
          <w:rFonts w:ascii="Garamond" w:eastAsia="Garamond" w:hAnsi="Garamond" w:cs="Garamond"/>
        </w:rPr>
        <w:t>he BWRSD reserves the right without prejudice to reject any or all proposals.</w:t>
      </w:r>
    </w:p>
    <w:p w:rsidR="00A22F56" w:rsidRDefault="00A22F56">
      <w:pPr>
        <w:tabs>
          <w:tab w:val="left" w:pos="720"/>
        </w:tabs>
        <w:ind w:left="0" w:hanging="2"/>
      </w:pPr>
    </w:p>
    <w:p w:rsidR="00A22F56" w:rsidRDefault="00506037">
      <w:pPr>
        <w:tabs>
          <w:tab w:val="left" w:pos="720"/>
        </w:tabs>
        <w:ind w:left="1" w:hanging="3"/>
        <w:jc w:val="center"/>
        <w:rPr>
          <w:rFonts w:ascii="Garamond" w:eastAsia="Garamond" w:hAnsi="Garamond" w:cs="Garamond"/>
          <w:sz w:val="28"/>
          <w:szCs w:val="28"/>
        </w:rPr>
      </w:pPr>
      <w:r>
        <w:rPr>
          <w:rFonts w:ascii="Garamond" w:eastAsia="Garamond" w:hAnsi="Garamond" w:cs="Garamond"/>
          <w:b/>
          <w:sz w:val="28"/>
          <w:szCs w:val="28"/>
        </w:rPr>
        <w:t>APPENDIX A</w:t>
      </w:r>
    </w:p>
    <w:p w:rsidR="00A22F56" w:rsidRDefault="00A22F56">
      <w:pPr>
        <w:tabs>
          <w:tab w:val="left" w:pos="720"/>
        </w:tabs>
        <w:ind w:left="1" w:hanging="3"/>
        <w:jc w:val="center"/>
        <w:rPr>
          <w:rFonts w:ascii="Garamond" w:eastAsia="Garamond" w:hAnsi="Garamond" w:cs="Garamond"/>
          <w:sz w:val="28"/>
          <w:szCs w:val="28"/>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PROPOSER GUARANTEES</w:t>
      </w:r>
    </w:p>
    <w:p w:rsidR="00A22F56" w:rsidRDefault="00A22F56">
      <w:pPr>
        <w:tabs>
          <w:tab w:val="left" w:pos="720"/>
        </w:tabs>
        <w:ind w:left="0" w:hanging="2"/>
        <w:rPr>
          <w:rFonts w:ascii="Garamond" w:eastAsia="Garamond" w:hAnsi="Garamond" w:cs="Garamond"/>
        </w:rPr>
      </w:pPr>
    </w:p>
    <w:p w:rsidR="00A22F56" w:rsidRDefault="00506037">
      <w:pPr>
        <w:numPr>
          <w:ilvl w:val="0"/>
          <w:numId w:val="20"/>
        </w:numPr>
        <w:ind w:left="0" w:hanging="2"/>
        <w:rPr>
          <w:rFonts w:ascii="Garamond" w:eastAsia="Garamond" w:hAnsi="Garamond" w:cs="Garamond"/>
        </w:rPr>
      </w:pPr>
      <w:r>
        <w:rPr>
          <w:rFonts w:ascii="Garamond" w:eastAsia="Garamond" w:hAnsi="Garamond" w:cs="Garamond"/>
        </w:rPr>
        <w:t>The proposer certifies it can and will provide and make available, at a minimum all services set forth in Section II,  Nature of Services Required.</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Signature of Official:</w:t>
      </w:r>
      <w:r>
        <w:rPr>
          <w:rFonts w:ascii="Garamond" w:eastAsia="Garamond" w:hAnsi="Garamond" w:cs="Garamond"/>
        </w:rPr>
        <w:tab/>
      </w:r>
      <w:r>
        <w:rPr>
          <w:rFonts w:ascii="Garamond" w:eastAsia="Garamond" w:hAnsi="Garamond" w:cs="Garamond"/>
        </w:rPr>
        <w:tab/>
        <w:t xml:space="preserve">__________________________________________ </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 xml:space="preserve">    </w:t>
      </w:r>
      <w:r>
        <w:rPr>
          <w:rFonts w:ascii="Garamond" w:eastAsia="Garamond" w:hAnsi="Garamond" w:cs="Garamond"/>
        </w:rPr>
        <w:tab/>
      </w:r>
      <w:r>
        <w:rPr>
          <w:rFonts w:ascii="Garamond" w:eastAsia="Garamond" w:hAnsi="Garamond" w:cs="Garamond"/>
        </w:rPr>
        <w:tab/>
        <w:t xml:space="preserve">Name (Typed): </w:t>
      </w:r>
      <w:r>
        <w:rPr>
          <w:rFonts w:ascii="Garamond" w:eastAsia="Garamond" w:hAnsi="Garamond" w:cs="Garamond"/>
        </w:rPr>
        <w:tab/>
      </w:r>
      <w:r>
        <w:rPr>
          <w:rFonts w:ascii="Garamond" w:eastAsia="Garamond" w:hAnsi="Garamond" w:cs="Garamond"/>
        </w:rPr>
        <w:tab/>
        <w:t>____________</w:t>
      </w:r>
      <w:r>
        <w:rPr>
          <w:rFonts w:ascii="Garamond" w:eastAsia="Garamond" w:hAnsi="Garamond" w:cs="Garamond"/>
        </w:rPr>
        <w:t>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Title:</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Firm:</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Address:</w:t>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Telephone Number:</w:t>
      </w:r>
      <w:r>
        <w:rPr>
          <w:rFonts w:ascii="Garamond" w:eastAsia="Garamond" w:hAnsi="Garamond" w:cs="Garamond"/>
        </w:rPr>
        <w:tab/>
      </w:r>
      <w:r>
        <w:rPr>
          <w:rFonts w:ascii="Garamond" w:eastAsia="Garamond" w:hAnsi="Garamond" w:cs="Garamond"/>
        </w:rPr>
        <w:tab/>
        <w:t>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pPr>
      <w:r>
        <w:rPr>
          <w:rFonts w:ascii="Garamond" w:eastAsia="Garamond" w:hAnsi="Garamond" w:cs="Garamond"/>
        </w:rPr>
        <w:tab/>
      </w:r>
      <w:r>
        <w:rPr>
          <w:rFonts w:ascii="Garamond" w:eastAsia="Garamond" w:hAnsi="Garamond" w:cs="Garamond"/>
        </w:rPr>
        <w:tab/>
        <w:t>Date:</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t xml:space="preserve">__________________________________________             </w:t>
      </w:r>
    </w:p>
    <w:p w:rsidR="00A22F56" w:rsidRDefault="00506037">
      <w:pPr>
        <w:tabs>
          <w:tab w:val="left" w:pos="720"/>
        </w:tabs>
        <w:ind w:left="0" w:hanging="2"/>
      </w:pPr>
      <w:r>
        <w:t xml:space="preserve">    </w:t>
      </w:r>
    </w:p>
    <w:p w:rsidR="00A22F56" w:rsidRDefault="00A22F56">
      <w:pPr>
        <w:tabs>
          <w:tab w:val="left" w:pos="720"/>
        </w:tabs>
        <w:ind w:left="0" w:hanging="2"/>
      </w:pPr>
    </w:p>
    <w:p w:rsidR="00A22F56" w:rsidRDefault="00506037">
      <w:pPr>
        <w:tabs>
          <w:tab w:val="left" w:pos="720"/>
        </w:tabs>
        <w:ind w:left="0" w:hanging="2"/>
      </w:pPr>
      <w:r>
        <w:t xml:space="preserve">     </w:t>
      </w:r>
    </w:p>
    <w:p w:rsidR="00A22F56" w:rsidRDefault="00A22F56">
      <w:pPr>
        <w:tabs>
          <w:tab w:val="left" w:pos="720"/>
        </w:tabs>
        <w:ind w:left="0" w:hanging="2"/>
      </w:pPr>
    </w:p>
    <w:p w:rsidR="00A22F56" w:rsidRDefault="00506037">
      <w:pPr>
        <w:tabs>
          <w:tab w:val="left" w:pos="720"/>
        </w:tabs>
        <w:ind w:left="0" w:hanging="2"/>
      </w:pPr>
      <w:r>
        <w:tab/>
      </w:r>
    </w:p>
    <w:p w:rsidR="00A22F56" w:rsidRDefault="00506037">
      <w:pPr>
        <w:tabs>
          <w:tab w:val="left" w:pos="720"/>
        </w:tabs>
        <w:ind w:left="0" w:hanging="2"/>
      </w:pPr>
      <w:r>
        <w:tab/>
        <w:t xml:space="preserve">   </w:t>
      </w:r>
    </w:p>
    <w:p w:rsidR="00A22F56" w:rsidRDefault="00506037">
      <w:pPr>
        <w:tabs>
          <w:tab w:val="left" w:pos="720"/>
        </w:tabs>
        <w:ind w:left="0" w:hanging="2"/>
      </w:pPr>
      <w:r>
        <w:tab/>
      </w:r>
    </w:p>
    <w:p w:rsidR="00A22F56" w:rsidRDefault="00506037">
      <w:pPr>
        <w:tabs>
          <w:tab w:val="left" w:pos="720"/>
        </w:tabs>
        <w:ind w:left="0" w:hanging="2"/>
      </w:pPr>
      <w:r>
        <w:tab/>
      </w:r>
      <w:r>
        <w:tab/>
      </w:r>
    </w:p>
    <w:p w:rsidR="00A22F56" w:rsidRDefault="00506037">
      <w:pPr>
        <w:tabs>
          <w:tab w:val="left" w:pos="720"/>
        </w:tabs>
        <w:ind w:left="0" w:hanging="2"/>
      </w:pPr>
      <w:r>
        <w:tab/>
        <w:t xml:space="preserve">          </w:t>
      </w:r>
    </w:p>
    <w:p w:rsidR="00A22F56" w:rsidRDefault="00506037">
      <w:pPr>
        <w:tabs>
          <w:tab w:val="left" w:pos="720"/>
        </w:tabs>
        <w:ind w:left="0" w:hanging="2"/>
      </w:pPr>
      <w:r>
        <w:tab/>
        <w:t xml:space="preserve">           </w:t>
      </w:r>
    </w:p>
    <w:p w:rsidR="00A22F56" w:rsidRDefault="00506037">
      <w:pPr>
        <w:tabs>
          <w:tab w:val="left" w:pos="720"/>
        </w:tabs>
        <w:ind w:left="0" w:hanging="2"/>
      </w:pPr>
      <w:r>
        <w:tab/>
      </w:r>
      <w:r>
        <w:tab/>
      </w:r>
    </w:p>
    <w:p w:rsidR="00A22F56" w:rsidRDefault="00A22F56">
      <w:pPr>
        <w:tabs>
          <w:tab w:val="left" w:pos="720"/>
        </w:tabs>
        <w:ind w:left="0" w:hanging="2"/>
      </w:pPr>
    </w:p>
    <w:p w:rsidR="00A22F56" w:rsidRDefault="00506037">
      <w:pPr>
        <w:tabs>
          <w:tab w:val="left" w:pos="720"/>
        </w:tabs>
        <w:ind w:left="0" w:hanging="2"/>
      </w:pPr>
      <w:r>
        <w:tab/>
        <w:t xml:space="preserve">       </w:t>
      </w:r>
    </w:p>
    <w:p w:rsidR="00A22F56" w:rsidRDefault="00506037">
      <w:pPr>
        <w:tabs>
          <w:tab w:val="left" w:pos="720"/>
        </w:tabs>
        <w:ind w:left="0" w:hanging="2"/>
      </w:pPr>
      <w:r>
        <w:tab/>
      </w:r>
      <w:r>
        <w:tab/>
      </w:r>
    </w:p>
    <w:p w:rsidR="00A22F56" w:rsidRDefault="00506037">
      <w:pPr>
        <w:tabs>
          <w:tab w:val="left" w:pos="720"/>
        </w:tabs>
        <w:ind w:left="0" w:hanging="2"/>
      </w:pPr>
      <w:r>
        <w:tab/>
      </w:r>
      <w:r>
        <w:tab/>
      </w:r>
    </w:p>
    <w:p w:rsidR="00A22F56" w:rsidRDefault="00506037">
      <w:pPr>
        <w:tabs>
          <w:tab w:val="left" w:pos="720"/>
        </w:tabs>
        <w:ind w:left="0" w:hanging="2"/>
      </w:pPr>
      <w:r>
        <w:tab/>
      </w:r>
    </w:p>
    <w:p w:rsidR="00A22F56" w:rsidRDefault="00A22F56">
      <w:pPr>
        <w:tabs>
          <w:tab w:val="left" w:pos="720"/>
        </w:tabs>
        <w:ind w:left="0" w:hanging="2"/>
      </w:pPr>
    </w:p>
    <w:p w:rsidR="00A22F56" w:rsidRDefault="00506037">
      <w:pPr>
        <w:tabs>
          <w:tab w:val="left" w:pos="720"/>
        </w:tabs>
        <w:ind w:left="0" w:hanging="2"/>
      </w:pPr>
      <w:r>
        <w:tab/>
      </w:r>
      <w:r>
        <w:tab/>
      </w:r>
    </w:p>
    <w:p w:rsidR="00A22F56" w:rsidRDefault="00A22F56">
      <w:pPr>
        <w:tabs>
          <w:tab w:val="left" w:pos="720"/>
        </w:tabs>
        <w:ind w:left="0" w:hanging="2"/>
      </w:pPr>
    </w:p>
    <w:p w:rsidR="00A22F56" w:rsidRDefault="00506037">
      <w:pPr>
        <w:tabs>
          <w:tab w:val="left" w:pos="720"/>
        </w:tabs>
        <w:ind w:left="0" w:hanging="2"/>
      </w:pPr>
      <w:r>
        <w:tab/>
      </w:r>
      <w:r>
        <w:tab/>
      </w:r>
    </w:p>
    <w:p w:rsidR="00A22F56" w:rsidRDefault="00A22F56">
      <w:pPr>
        <w:tabs>
          <w:tab w:val="left" w:pos="720"/>
        </w:tabs>
        <w:ind w:left="0" w:hanging="2"/>
      </w:pPr>
    </w:p>
    <w:p w:rsidR="00A22F56" w:rsidRDefault="00A22F56">
      <w:pPr>
        <w:tabs>
          <w:tab w:val="left" w:pos="720"/>
        </w:tabs>
        <w:ind w:left="0" w:hanging="2"/>
      </w:pPr>
    </w:p>
    <w:p w:rsidR="00A22F56" w:rsidRDefault="00506037">
      <w:pPr>
        <w:tabs>
          <w:tab w:val="left" w:pos="720"/>
        </w:tabs>
        <w:ind w:left="0" w:hanging="2"/>
      </w:pPr>
      <w:r>
        <w:rPr>
          <w:b/>
        </w:rPr>
        <w:tab/>
      </w:r>
    </w:p>
    <w:p w:rsidR="00A22F56" w:rsidRDefault="00A22F56">
      <w:pPr>
        <w:tabs>
          <w:tab w:val="left" w:pos="720"/>
        </w:tabs>
        <w:ind w:left="0" w:hanging="2"/>
      </w:pPr>
    </w:p>
    <w:p w:rsidR="00A22F56" w:rsidRDefault="00506037">
      <w:pPr>
        <w:tabs>
          <w:tab w:val="left" w:pos="720"/>
        </w:tabs>
        <w:ind w:left="0" w:hanging="2"/>
      </w:pPr>
      <w:r>
        <w:tab/>
      </w:r>
      <w:r>
        <w:tab/>
      </w:r>
      <w:r>
        <w:tab/>
        <w:t xml:space="preserve">     </w:t>
      </w:r>
    </w:p>
    <w:p w:rsidR="00A22F56" w:rsidRDefault="00506037">
      <w:pPr>
        <w:tabs>
          <w:tab w:val="left" w:pos="720"/>
        </w:tabs>
        <w:ind w:left="1" w:hanging="3"/>
        <w:jc w:val="center"/>
        <w:rPr>
          <w:rFonts w:ascii="Garamond" w:eastAsia="Garamond" w:hAnsi="Garamond" w:cs="Garamond"/>
          <w:sz w:val="28"/>
          <w:szCs w:val="28"/>
        </w:rPr>
      </w:pPr>
      <w:r>
        <w:rPr>
          <w:rFonts w:ascii="Garamond" w:eastAsia="Garamond" w:hAnsi="Garamond" w:cs="Garamond"/>
          <w:b/>
          <w:sz w:val="28"/>
          <w:szCs w:val="28"/>
        </w:rPr>
        <w:t>APPENDIX B</w:t>
      </w:r>
    </w:p>
    <w:p w:rsidR="00A22F56" w:rsidRDefault="00A22F56">
      <w:pPr>
        <w:tabs>
          <w:tab w:val="left" w:pos="720"/>
        </w:tabs>
        <w:ind w:left="1" w:hanging="3"/>
        <w:jc w:val="center"/>
        <w:rPr>
          <w:rFonts w:ascii="Garamond" w:eastAsia="Garamond" w:hAnsi="Garamond" w:cs="Garamond"/>
          <w:sz w:val="28"/>
          <w:szCs w:val="28"/>
        </w:rPr>
      </w:pPr>
    </w:p>
    <w:p w:rsidR="00A22F56" w:rsidRDefault="00506037">
      <w:pPr>
        <w:tabs>
          <w:tab w:val="left" w:pos="720"/>
        </w:tabs>
        <w:ind w:left="0" w:hanging="2"/>
        <w:rPr>
          <w:rFonts w:ascii="Garamond" w:eastAsia="Garamond" w:hAnsi="Garamond" w:cs="Garamond"/>
        </w:rPr>
      </w:pPr>
      <w:r>
        <w:rPr>
          <w:rFonts w:ascii="Garamond" w:eastAsia="Garamond" w:hAnsi="Garamond" w:cs="Garamond"/>
          <w:b/>
        </w:rPr>
        <w:t>PROPOSER WARRANTIES</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Proposer warrants that it is willing and able to comply with State of Rhode Island laws with respect to foreign</w:t>
      </w:r>
    </w:p>
    <w:p w:rsidR="00A22F56" w:rsidRDefault="00506037">
      <w:pPr>
        <w:tabs>
          <w:tab w:val="left" w:pos="720"/>
        </w:tabs>
        <w:ind w:left="0" w:hanging="2"/>
        <w:rPr>
          <w:rFonts w:ascii="Garamond" w:eastAsia="Garamond" w:hAnsi="Garamond" w:cs="Garamond"/>
        </w:rPr>
      </w:pPr>
      <w:r>
        <w:rPr>
          <w:rFonts w:ascii="Garamond" w:eastAsia="Garamond" w:hAnsi="Garamond" w:cs="Garamond"/>
        </w:rPr>
        <w:t>(non-State of Rhode Island) corporations.</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Proposer warrants that it is willing and able to obtain an errors and omissions insurance policy providing a prudent amount of coverage for the willful or negligent acts, or omissions of any officers, employees or agents thereof.</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Proposer warrants that it</w:t>
      </w:r>
      <w:r>
        <w:rPr>
          <w:rFonts w:ascii="Garamond" w:eastAsia="Garamond" w:hAnsi="Garamond" w:cs="Garamond"/>
        </w:rPr>
        <w:t xml:space="preserve"> will not delegate or subcontract its responsibilities under an agreement without the express prior written permission of the Bristol Warren Regional School District.</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Proposer warrants that all information provided by it in connection with this proposal i</w:t>
      </w:r>
      <w:r>
        <w:rPr>
          <w:rFonts w:ascii="Garamond" w:eastAsia="Garamond" w:hAnsi="Garamond" w:cs="Garamond"/>
        </w:rPr>
        <w:t>s true and accurate.</w:t>
      </w: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Signature of Official:</w:t>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Name (Typed):</w:t>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Title:</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Firm:</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w:t>
      </w:r>
      <w:r>
        <w:rPr>
          <w:rFonts w:ascii="Garamond" w:eastAsia="Garamond" w:hAnsi="Garamond" w:cs="Garamond"/>
        </w:rPr>
        <w:t>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Address:</w:t>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Telephone Number:</w:t>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ab/>
      </w:r>
      <w:r>
        <w:rPr>
          <w:rFonts w:ascii="Garamond" w:eastAsia="Garamond" w:hAnsi="Garamond" w:cs="Garamond"/>
        </w:rPr>
        <w:tab/>
        <w:t>Date:</w:t>
      </w:r>
      <w:r>
        <w:rPr>
          <w:rFonts w:ascii="Garamond" w:eastAsia="Garamond" w:hAnsi="Garamond" w:cs="Garamond"/>
        </w:rPr>
        <w:tab/>
      </w:r>
      <w:r>
        <w:rPr>
          <w:rFonts w:ascii="Garamond" w:eastAsia="Garamond" w:hAnsi="Garamond" w:cs="Garamond"/>
        </w:rPr>
        <w:tab/>
      </w:r>
      <w:r>
        <w:rPr>
          <w:rFonts w:ascii="Garamond" w:eastAsia="Garamond" w:hAnsi="Garamond" w:cs="Garamond"/>
        </w:rPr>
        <w:tab/>
      </w:r>
      <w:r>
        <w:rPr>
          <w:rFonts w:ascii="Garamond" w:eastAsia="Garamond" w:hAnsi="Garamond" w:cs="Garamond"/>
        </w:rPr>
        <w:tab/>
        <w:t>_____________________________________________</w:t>
      </w:r>
    </w:p>
    <w:p w:rsidR="00A22F56" w:rsidRDefault="00A22F56">
      <w:pPr>
        <w:tabs>
          <w:tab w:val="left" w:pos="720"/>
        </w:tabs>
        <w:ind w:left="0" w:hanging="2"/>
      </w:pPr>
    </w:p>
    <w:p w:rsidR="00A22F56" w:rsidRDefault="00A22F56">
      <w:pPr>
        <w:tabs>
          <w:tab w:val="left" w:pos="720"/>
        </w:tabs>
        <w:ind w:left="0" w:hanging="2"/>
      </w:pPr>
    </w:p>
    <w:p w:rsidR="00A22F56" w:rsidRDefault="00506037">
      <w:pPr>
        <w:tabs>
          <w:tab w:val="left" w:pos="720"/>
        </w:tabs>
        <w:ind w:left="0" w:hanging="2"/>
      </w:pPr>
      <w:r>
        <w:tab/>
      </w:r>
    </w:p>
    <w:p w:rsidR="00A22F56" w:rsidRDefault="00A22F56">
      <w:pPr>
        <w:tabs>
          <w:tab w:val="left" w:pos="720"/>
        </w:tabs>
        <w:ind w:left="0" w:hanging="2"/>
      </w:pPr>
    </w:p>
    <w:p w:rsidR="00A22F56" w:rsidRDefault="00A22F56">
      <w:pPr>
        <w:tabs>
          <w:tab w:val="left" w:pos="720"/>
        </w:tabs>
        <w:ind w:left="0" w:hanging="2"/>
      </w:pPr>
    </w:p>
    <w:p w:rsidR="00A22F56" w:rsidRDefault="00A22F56">
      <w:pPr>
        <w:tabs>
          <w:tab w:val="left" w:pos="720"/>
        </w:tabs>
        <w:ind w:left="0" w:hanging="2"/>
      </w:pPr>
    </w:p>
    <w:p w:rsidR="00A22F56" w:rsidRDefault="00506037">
      <w:pPr>
        <w:tabs>
          <w:tab w:val="left" w:pos="720"/>
        </w:tabs>
        <w:ind w:left="0" w:hanging="2"/>
      </w:pPr>
      <w:r>
        <w:tab/>
      </w:r>
      <w:r>
        <w:tab/>
      </w:r>
      <w:r>
        <w:tab/>
      </w:r>
    </w:p>
    <w:p w:rsidR="00A22F56" w:rsidRDefault="00A22F56">
      <w:pPr>
        <w:tabs>
          <w:tab w:val="left" w:pos="720"/>
        </w:tabs>
        <w:ind w:left="0" w:hanging="2"/>
      </w:pPr>
    </w:p>
    <w:p w:rsidR="00A22F56" w:rsidRDefault="00506037">
      <w:pPr>
        <w:tabs>
          <w:tab w:val="left" w:pos="720"/>
        </w:tabs>
        <w:ind w:left="0" w:hanging="2"/>
      </w:pPr>
      <w:r>
        <w:tab/>
      </w:r>
      <w:r>
        <w:tab/>
      </w:r>
      <w:r>
        <w:tab/>
      </w:r>
      <w:r>
        <w:tab/>
      </w:r>
      <w:r>
        <w:tab/>
      </w:r>
      <w:r>
        <w:tab/>
      </w:r>
    </w:p>
    <w:p w:rsidR="00A22F56" w:rsidRDefault="00A22F56">
      <w:pPr>
        <w:tabs>
          <w:tab w:val="left" w:pos="720"/>
        </w:tabs>
        <w:ind w:left="0" w:hanging="2"/>
      </w:pPr>
    </w:p>
    <w:p w:rsidR="00A22F56" w:rsidRDefault="00A22F56">
      <w:pPr>
        <w:tabs>
          <w:tab w:val="left" w:pos="720"/>
        </w:tabs>
        <w:ind w:left="0" w:hanging="2"/>
      </w:pPr>
    </w:p>
    <w:p w:rsidR="00A22F56" w:rsidRDefault="00506037">
      <w:pPr>
        <w:tabs>
          <w:tab w:val="left" w:pos="720"/>
        </w:tabs>
        <w:ind w:left="0" w:hanging="2"/>
      </w:pPr>
      <w:r>
        <w:tab/>
      </w:r>
      <w:r>
        <w:tab/>
      </w:r>
    </w:p>
    <w:p w:rsidR="00A22F56" w:rsidRDefault="00A22F56">
      <w:pPr>
        <w:tabs>
          <w:tab w:val="left" w:pos="720"/>
        </w:tabs>
        <w:ind w:left="0" w:hanging="2"/>
      </w:pPr>
    </w:p>
    <w:p w:rsidR="00A22F56" w:rsidRDefault="00506037">
      <w:pPr>
        <w:tabs>
          <w:tab w:val="left" w:pos="720"/>
        </w:tabs>
        <w:ind w:left="0" w:hanging="2"/>
      </w:pPr>
      <w:r>
        <w:tab/>
      </w:r>
    </w:p>
    <w:p w:rsidR="00A22F56" w:rsidRDefault="00A22F56">
      <w:pPr>
        <w:tabs>
          <w:tab w:val="left" w:pos="720"/>
        </w:tabs>
        <w:ind w:left="0" w:hanging="2"/>
      </w:pPr>
    </w:p>
    <w:p w:rsidR="00A22F56" w:rsidRDefault="00506037">
      <w:pPr>
        <w:tabs>
          <w:tab w:val="left" w:pos="720"/>
        </w:tabs>
        <w:ind w:left="0" w:hanging="2"/>
      </w:pPr>
      <w:bookmarkStart w:id="4" w:name="_heading=h.1fob9te" w:colFirst="0" w:colLast="0"/>
      <w:bookmarkEnd w:id="4"/>
      <w:r>
        <w:tab/>
      </w:r>
    </w:p>
    <w:p w:rsidR="00A22F56" w:rsidRDefault="00506037">
      <w:pPr>
        <w:tabs>
          <w:tab w:val="left" w:pos="720"/>
        </w:tabs>
        <w:ind w:left="1" w:hanging="3"/>
        <w:jc w:val="center"/>
        <w:rPr>
          <w:sz w:val="28"/>
          <w:szCs w:val="28"/>
        </w:rPr>
      </w:pPr>
      <w:r>
        <w:rPr>
          <w:b/>
          <w:sz w:val="28"/>
          <w:szCs w:val="28"/>
        </w:rPr>
        <w:t>APPENDIX C</w:t>
      </w:r>
    </w:p>
    <w:p w:rsidR="00A22F56" w:rsidRDefault="00A22F56">
      <w:pPr>
        <w:tabs>
          <w:tab w:val="left" w:pos="720"/>
        </w:tabs>
        <w:ind w:left="1" w:hanging="3"/>
        <w:jc w:val="center"/>
        <w:rPr>
          <w:sz w:val="28"/>
          <w:szCs w:val="28"/>
        </w:rPr>
      </w:pPr>
    </w:p>
    <w:p w:rsidR="00A22F56" w:rsidRDefault="00506037">
      <w:pPr>
        <w:tabs>
          <w:tab w:val="left" w:pos="720"/>
        </w:tabs>
        <w:ind w:left="0" w:hanging="2"/>
        <w:jc w:val="center"/>
      </w:pPr>
      <w:r>
        <w:rPr>
          <w:b/>
        </w:rPr>
        <w:t>SCHEDULE OF PROFESSIONAL FEES AND EXPENSES FOR THE AUDIT OF THE FINANCIAL STATEMENTS AND THE UCOA AGREED-UPON PROCEDURES</w:t>
      </w:r>
    </w:p>
    <w:p w:rsidR="00A22F56" w:rsidRDefault="00A22F56">
      <w:pPr>
        <w:tabs>
          <w:tab w:val="left" w:pos="720"/>
        </w:tabs>
        <w:ind w:left="0" w:hanging="2"/>
      </w:pPr>
    </w:p>
    <w:p w:rsidR="00A22F56" w:rsidRDefault="00A22F56">
      <w:pPr>
        <w:tabs>
          <w:tab w:val="left" w:pos="720"/>
        </w:tabs>
        <w:ind w:left="0" w:hanging="2"/>
      </w:pPr>
    </w:p>
    <w:p w:rsidR="00A22F56" w:rsidRDefault="00A22F56">
      <w:pPr>
        <w:tabs>
          <w:tab w:val="left" w:pos="720"/>
        </w:tabs>
        <w:ind w:left="0" w:hanging="2"/>
      </w:pPr>
    </w:p>
    <w:tbl>
      <w:tblPr>
        <w:tblStyle w:val="a6"/>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8"/>
        <w:gridCol w:w="1440"/>
        <w:gridCol w:w="1260"/>
        <w:gridCol w:w="1260"/>
        <w:gridCol w:w="1548"/>
      </w:tblGrid>
      <w:tr w:rsidR="00A22F56">
        <w:tc>
          <w:tcPr>
            <w:tcW w:w="5508" w:type="dxa"/>
          </w:tcPr>
          <w:p w:rsidR="00A22F56" w:rsidRDefault="00A22F56">
            <w:pPr>
              <w:tabs>
                <w:tab w:val="left" w:pos="720"/>
              </w:tabs>
              <w:ind w:left="0" w:hanging="2"/>
            </w:pPr>
          </w:p>
        </w:tc>
        <w:tc>
          <w:tcPr>
            <w:tcW w:w="1440" w:type="dxa"/>
          </w:tcPr>
          <w:p w:rsidR="00A22F56" w:rsidRDefault="00A22F56">
            <w:pPr>
              <w:tabs>
                <w:tab w:val="left" w:pos="720"/>
              </w:tabs>
              <w:ind w:left="0" w:hanging="2"/>
              <w:jc w:val="center"/>
              <w:rPr>
                <w:rFonts w:ascii="Garamond" w:eastAsia="Garamond" w:hAnsi="Garamond" w:cs="Garamond"/>
              </w:rPr>
            </w:pP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rPr>
              <w:t>District Hours</w:t>
            </w:r>
          </w:p>
        </w:tc>
        <w:tc>
          <w:tcPr>
            <w:tcW w:w="1260" w:type="dxa"/>
          </w:tcPr>
          <w:p w:rsidR="00A22F56" w:rsidRDefault="00506037">
            <w:pPr>
              <w:tabs>
                <w:tab w:val="left" w:pos="720"/>
              </w:tabs>
              <w:ind w:left="0" w:hanging="2"/>
              <w:jc w:val="center"/>
              <w:rPr>
                <w:rFonts w:ascii="Garamond" w:eastAsia="Garamond" w:hAnsi="Garamond" w:cs="Garamond"/>
              </w:rPr>
            </w:pPr>
            <w:r>
              <w:rPr>
                <w:rFonts w:ascii="Garamond" w:eastAsia="Garamond" w:hAnsi="Garamond" w:cs="Garamond"/>
              </w:rPr>
              <w:t>Standard Hourly Rates</w:t>
            </w:r>
          </w:p>
        </w:tc>
        <w:tc>
          <w:tcPr>
            <w:tcW w:w="1260" w:type="dxa"/>
          </w:tcPr>
          <w:p w:rsidR="00A22F56" w:rsidRDefault="00506037">
            <w:pPr>
              <w:tabs>
                <w:tab w:val="left" w:pos="720"/>
              </w:tabs>
              <w:ind w:left="0" w:hanging="2"/>
              <w:jc w:val="center"/>
              <w:rPr>
                <w:rFonts w:ascii="Garamond" w:eastAsia="Garamond" w:hAnsi="Garamond" w:cs="Garamond"/>
              </w:rPr>
            </w:pPr>
            <w:r>
              <w:rPr>
                <w:rFonts w:ascii="Garamond" w:eastAsia="Garamond" w:hAnsi="Garamond" w:cs="Garamond"/>
              </w:rPr>
              <w:t>Quoted Hourly Rate</w:t>
            </w:r>
          </w:p>
        </w:tc>
        <w:tc>
          <w:tcPr>
            <w:tcW w:w="1548" w:type="dxa"/>
          </w:tcPr>
          <w:p w:rsidR="00A22F56" w:rsidRDefault="00A22F56">
            <w:pPr>
              <w:tabs>
                <w:tab w:val="left" w:pos="720"/>
              </w:tabs>
              <w:ind w:left="0" w:hanging="2"/>
              <w:jc w:val="center"/>
              <w:rPr>
                <w:rFonts w:ascii="Garamond" w:eastAsia="Garamond" w:hAnsi="Garamond" w:cs="Garamond"/>
              </w:rPr>
            </w:pPr>
          </w:p>
          <w:p w:rsidR="00A22F56" w:rsidRDefault="00A22F56">
            <w:pPr>
              <w:tabs>
                <w:tab w:val="left" w:pos="720"/>
              </w:tabs>
              <w:ind w:left="0" w:hanging="2"/>
              <w:jc w:val="center"/>
              <w:rPr>
                <w:rFonts w:ascii="Garamond" w:eastAsia="Garamond" w:hAnsi="Garamond" w:cs="Garamond"/>
              </w:rPr>
            </w:pPr>
          </w:p>
          <w:p w:rsidR="00A22F56" w:rsidRDefault="00506037">
            <w:pPr>
              <w:tabs>
                <w:tab w:val="left" w:pos="720"/>
              </w:tabs>
              <w:ind w:left="0" w:hanging="2"/>
              <w:jc w:val="center"/>
              <w:rPr>
                <w:rFonts w:ascii="Garamond" w:eastAsia="Garamond" w:hAnsi="Garamond" w:cs="Garamond"/>
              </w:rPr>
            </w:pPr>
            <w:r>
              <w:rPr>
                <w:rFonts w:ascii="Garamond" w:eastAsia="Garamond" w:hAnsi="Garamond" w:cs="Garamond"/>
              </w:rPr>
              <w:t>Total</w:t>
            </w:r>
          </w:p>
        </w:tc>
      </w:tr>
      <w:tr w:rsidR="00A22F56">
        <w:tc>
          <w:tcPr>
            <w:tcW w:w="5508" w:type="dxa"/>
          </w:tcPr>
          <w:p w:rsidR="00A22F56" w:rsidRDefault="00A22F56">
            <w:pPr>
              <w:tabs>
                <w:tab w:val="left" w:pos="720"/>
              </w:tabs>
              <w:ind w:left="0" w:hanging="2"/>
              <w:rPr>
                <w:rFonts w:ascii="Garamond" w:eastAsia="Garamond" w:hAnsi="Garamond" w:cs="Garamond"/>
              </w:rPr>
            </w:pPr>
          </w:p>
          <w:p w:rsidR="00A22F56" w:rsidRDefault="00506037">
            <w:pPr>
              <w:tabs>
                <w:tab w:val="left" w:pos="720"/>
              </w:tabs>
              <w:ind w:left="0" w:hanging="2"/>
              <w:rPr>
                <w:rFonts w:ascii="Garamond" w:eastAsia="Garamond" w:hAnsi="Garamond" w:cs="Garamond"/>
              </w:rPr>
            </w:pPr>
            <w:r>
              <w:rPr>
                <w:rFonts w:ascii="Garamond" w:eastAsia="Garamond" w:hAnsi="Garamond" w:cs="Garamond"/>
              </w:rPr>
              <w:t>Partners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Managers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Senior</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Staff</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Other (specify)</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Subtotal</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Out of Pocket Expenses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A22F56">
            <w:pPr>
              <w:tabs>
                <w:tab w:val="left" w:pos="720"/>
              </w:tabs>
              <w:ind w:left="0" w:hanging="2"/>
              <w:rPr>
                <w:rFonts w:ascii="Garamond" w:eastAsia="Garamond" w:hAnsi="Garamond" w:cs="Garamond"/>
              </w:rPr>
            </w:pP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Total All-Inclusive Maximum Costs 2021 - Audit Services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Total All-Inclusive Maximum Costs 2021 – Agreed-Upon Procedures Services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Total All-Inclusive Maximum Costs 2022 – Audit Services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pPr>
            <w:r>
              <w:rPr>
                <w:rFonts w:ascii="Garamond" w:eastAsia="Garamond" w:hAnsi="Garamond" w:cs="Garamond"/>
              </w:rPr>
              <w:t>Total All-Inclusive Maximum Costs 2022 – Agreed-Upon Procedures Services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A22F56">
            <w:pPr>
              <w:tabs>
                <w:tab w:val="left" w:pos="720"/>
              </w:tabs>
              <w:ind w:left="0" w:hanging="2"/>
            </w:pPr>
          </w:p>
          <w:p w:rsidR="00A22F56" w:rsidRDefault="00506037">
            <w:pPr>
              <w:tabs>
                <w:tab w:val="left" w:pos="720"/>
              </w:tabs>
              <w:ind w:left="0" w:hanging="2"/>
              <w:rPr>
                <w:rFonts w:ascii="Garamond" w:eastAsia="Garamond" w:hAnsi="Garamond" w:cs="Garamond"/>
              </w:rPr>
            </w:pPr>
            <w:r>
              <w:rPr>
                <w:rFonts w:ascii="Garamond" w:eastAsia="Garamond" w:hAnsi="Garamond" w:cs="Garamond"/>
              </w:rPr>
              <w:t>Total All-Inclusive Maximum Costs 2023 – Audit Services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r w:rsidR="00A22F56">
        <w:tc>
          <w:tcPr>
            <w:tcW w:w="5508" w:type="dxa"/>
          </w:tcPr>
          <w:p w:rsidR="00A22F56" w:rsidRDefault="00506037">
            <w:pPr>
              <w:tabs>
                <w:tab w:val="left" w:pos="720"/>
              </w:tabs>
              <w:ind w:left="0" w:hanging="2"/>
            </w:pPr>
            <w:r>
              <w:rPr>
                <w:rFonts w:ascii="Garamond" w:eastAsia="Garamond" w:hAnsi="Garamond" w:cs="Garamond"/>
              </w:rPr>
              <w:t>Total All-Inclusive Maximum Costa 2023 – Agreed-Upon Procedures Services</w:t>
            </w:r>
          </w:p>
        </w:tc>
        <w:tc>
          <w:tcPr>
            <w:tcW w:w="144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260" w:type="dxa"/>
          </w:tcPr>
          <w:p w:rsidR="00A22F56" w:rsidRDefault="00A22F56">
            <w:pPr>
              <w:tabs>
                <w:tab w:val="left" w:pos="720"/>
              </w:tabs>
              <w:ind w:left="0" w:hanging="2"/>
            </w:pPr>
          </w:p>
        </w:tc>
        <w:tc>
          <w:tcPr>
            <w:tcW w:w="1548" w:type="dxa"/>
          </w:tcPr>
          <w:p w:rsidR="00A22F56" w:rsidRDefault="00A22F56">
            <w:pPr>
              <w:tabs>
                <w:tab w:val="left" w:pos="720"/>
              </w:tabs>
              <w:ind w:left="0" w:hanging="2"/>
            </w:pPr>
          </w:p>
        </w:tc>
      </w:tr>
    </w:tbl>
    <w:p w:rsidR="00A22F56" w:rsidRDefault="00A22F56">
      <w:pPr>
        <w:tabs>
          <w:tab w:val="left" w:pos="720"/>
        </w:tabs>
        <w:ind w:left="0" w:hanging="2"/>
      </w:pPr>
    </w:p>
    <w:p w:rsidR="00A22F56" w:rsidRDefault="00A22F56">
      <w:pPr>
        <w:tabs>
          <w:tab w:val="left" w:pos="720"/>
        </w:tabs>
        <w:ind w:left="0" w:hanging="2"/>
      </w:pPr>
    </w:p>
    <w:p w:rsidR="00A22F56" w:rsidRDefault="00506037">
      <w:pPr>
        <w:tabs>
          <w:tab w:val="left" w:pos="720"/>
        </w:tabs>
        <w:ind w:left="0" w:hanging="2"/>
      </w:pPr>
      <w:r>
        <w:rPr>
          <w:rFonts w:ascii="Garamond" w:eastAsia="Garamond" w:hAnsi="Garamond" w:cs="Garamond"/>
        </w:rPr>
        <w:t>Note:  The rate quoted should not be presented as a general percentage of the standard hourly rate or as a gross de</w:t>
      </w:r>
      <w:r>
        <w:rPr>
          <w:rFonts w:ascii="Garamond" w:eastAsia="Garamond" w:hAnsi="Garamond" w:cs="Garamond"/>
        </w:rPr>
        <w:t>duction from the total all-inclusive maximum price.</w:t>
      </w:r>
      <w:r>
        <w:t xml:space="preserve"> </w:t>
      </w:r>
      <w:r>
        <w:tab/>
        <w:t xml:space="preserve">      </w:t>
      </w:r>
    </w:p>
    <w:p w:rsidR="00A22F56" w:rsidRDefault="00506037">
      <w:pPr>
        <w:tabs>
          <w:tab w:val="left" w:pos="720"/>
        </w:tabs>
        <w:ind w:left="0" w:hanging="2"/>
      </w:pPr>
      <w:r>
        <w:tab/>
        <w:t xml:space="preserve">     </w:t>
      </w:r>
      <w:r>
        <w:tab/>
      </w:r>
    </w:p>
    <w:p w:rsidR="00A22F56" w:rsidRDefault="00506037">
      <w:pPr>
        <w:ind w:left="0" w:hanging="2"/>
      </w:pPr>
      <w:r>
        <w:rPr>
          <w:b/>
        </w:rPr>
        <w:tab/>
      </w:r>
    </w:p>
    <w:p w:rsidR="00A22F56" w:rsidRDefault="00A22F56">
      <w:pPr>
        <w:ind w:left="0" w:hanging="2"/>
      </w:pPr>
    </w:p>
    <w:p w:rsidR="00A22F56" w:rsidRDefault="00506037">
      <w:pPr>
        <w:tabs>
          <w:tab w:val="left" w:pos="720"/>
        </w:tabs>
        <w:ind w:left="1" w:hanging="3"/>
        <w:jc w:val="center"/>
        <w:rPr>
          <w:sz w:val="28"/>
          <w:szCs w:val="28"/>
        </w:rPr>
      </w:pPr>
      <w:r>
        <w:rPr>
          <w:b/>
          <w:sz w:val="28"/>
          <w:szCs w:val="28"/>
        </w:rPr>
        <w:t>APPENDIX D</w:t>
      </w:r>
    </w:p>
    <w:p w:rsidR="00A22F56" w:rsidRDefault="00A22F56">
      <w:pPr>
        <w:tabs>
          <w:tab w:val="left" w:pos="720"/>
        </w:tabs>
        <w:ind w:left="1" w:hanging="3"/>
        <w:jc w:val="center"/>
        <w:rPr>
          <w:sz w:val="28"/>
          <w:szCs w:val="28"/>
        </w:rPr>
      </w:pPr>
    </w:p>
    <w:p w:rsidR="00A22F56" w:rsidRDefault="00506037">
      <w:pPr>
        <w:tabs>
          <w:tab w:val="left" w:pos="720"/>
        </w:tabs>
        <w:ind w:left="1" w:hanging="3"/>
        <w:jc w:val="center"/>
        <w:rPr>
          <w:b/>
          <w:sz w:val="28"/>
          <w:szCs w:val="28"/>
        </w:rPr>
      </w:pPr>
      <w:r>
        <w:rPr>
          <w:b/>
          <w:sz w:val="28"/>
          <w:szCs w:val="28"/>
        </w:rPr>
        <w:t xml:space="preserve">    Uniform Chart of Accounts (UCOA) – Annual Compliance Testing Requirements</w:t>
      </w:r>
    </w:p>
    <w:p w:rsidR="00A22F56" w:rsidRDefault="00A22F56">
      <w:pPr>
        <w:tabs>
          <w:tab w:val="left" w:pos="720"/>
        </w:tabs>
        <w:ind w:left="1" w:hanging="3"/>
        <w:jc w:val="center"/>
        <w:rPr>
          <w:sz w:val="28"/>
          <w:szCs w:val="28"/>
        </w:rPr>
      </w:pPr>
    </w:p>
    <w:p w:rsidR="00A22F56" w:rsidRDefault="00506037">
      <w:pPr>
        <w:shd w:val="clear" w:color="auto" w:fill="CCFFFF"/>
        <w:spacing w:line="240" w:lineRule="auto"/>
        <w:ind w:left="0" w:hanging="2"/>
        <w:jc w:val="both"/>
        <w:rPr>
          <w:rFonts w:ascii="Calibri" w:eastAsia="Calibri" w:hAnsi="Calibri" w:cs="Calibri"/>
          <w:b/>
        </w:rPr>
      </w:pPr>
      <w:r>
        <w:rPr>
          <w:rFonts w:ascii="Calibri" w:eastAsia="Calibri" w:hAnsi="Calibri" w:cs="Calibri"/>
          <w:b/>
        </w:rPr>
        <w:t>OVERVIEW:</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Each municipal school district, regional school district, collaborative, State school, or charter school, which is required to adopt the Uniform Chart of Accounts (UCOA), shall have additional compliance testing procedures designed to assess compliance wit</w:t>
      </w:r>
      <w:r>
        <w:rPr>
          <w:rFonts w:ascii="Calibri" w:eastAsia="Calibri" w:hAnsi="Calibri" w:cs="Calibri"/>
          <w:sz w:val="22"/>
          <w:szCs w:val="22"/>
        </w:rPr>
        <w:t>h UCOA requirements and the entity’s effectiveness of internal control over compliance with those requirements.  The auditors engaged to perform the annual audit of the entity shall also be engaged to report on their tests of compliance with UCOA requireme</w:t>
      </w:r>
      <w:r>
        <w:rPr>
          <w:rFonts w:ascii="Calibri" w:eastAsia="Calibri" w:hAnsi="Calibri" w:cs="Calibri"/>
          <w:sz w:val="22"/>
          <w:szCs w:val="22"/>
        </w:rPr>
        <w:t>nts in an agreed-upon procedures compliance attestation format.</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A minimum sample of transactions shall be selected and tested for compliance with UCOA provisions.  Additionally, selected UCOA compliance requirements shall be included within the agreed-upo</w:t>
      </w:r>
      <w:r>
        <w:rPr>
          <w:rFonts w:ascii="Calibri" w:eastAsia="Calibri" w:hAnsi="Calibri" w:cs="Calibri"/>
          <w:sz w:val="22"/>
          <w:szCs w:val="22"/>
        </w:rPr>
        <w:t>n procedures compliance work program.</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lastRenderedPageBreak/>
        <w:t>The municipal school district, regional school district, collaborative, State school, or charter school shall provide the agreed-upon-procedures report along with the entity’s audited financial statements to the Rhode</w:t>
      </w:r>
      <w:r>
        <w:rPr>
          <w:rFonts w:ascii="Calibri" w:eastAsia="Calibri" w:hAnsi="Calibri" w:cs="Calibri"/>
          <w:sz w:val="22"/>
          <w:szCs w:val="22"/>
        </w:rPr>
        <w:t xml:space="preserve"> Island Department of Education (RIDE) and the Office of the Auditor General by December 31 or at the conclusion of the annual audit if an extension has been approved by the Auditor General.  For  school districts, regional school districts, collaboratives</w:t>
      </w:r>
      <w:r>
        <w:rPr>
          <w:rFonts w:ascii="Calibri" w:eastAsia="Calibri" w:hAnsi="Calibri" w:cs="Calibri"/>
          <w:sz w:val="22"/>
          <w:szCs w:val="22"/>
        </w:rPr>
        <w:t xml:space="preserve">, State schools, or charter schools which have adopted a fiscal year end other than June 30, the agreed upon procedures report shall also be provided by December 31 for the activity related to the year ended on the preceding June 30.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  </w:t>
      </w:r>
    </w:p>
    <w:p w:rsidR="00A22F56" w:rsidRDefault="00506037">
      <w:pPr>
        <w:shd w:val="clear" w:color="auto" w:fill="CCFFFF"/>
        <w:spacing w:line="240" w:lineRule="auto"/>
        <w:ind w:left="0" w:hanging="2"/>
        <w:jc w:val="both"/>
        <w:rPr>
          <w:rFonts w:ascii="Calibri" w:eastAsia="Calibri" w:hAnsi="Calibri" w:cs="Calibri"/>
          <w:b/>
        </w:rPr>
      </w:pPr>
      <w:r>
        <w:rPr>
          <w:rFonts w:ascii="Calibri" w:eastAsia="Calibri" w:hAnsi="Calibri" w:cs="Calibri"/>
          <w:b/>
        </w:rPr>
        <w:t>COMPLIANCE TESTING REQUIREMENTS:</w:t>
      </w:r>
    </w:p>
    <w:p w:rsidR="00A22F56" w:rsidRDefault="00A22F56">
      <w:pPr>
        <w:spacing w:line="240" w:lineRule="auto"/>
        <w:ind w:left="0" w:hanging="2"/>
        <w:jc w:val="both"/>
        <w:rPr>
          <w:rFonts w:ascii="Calibri" w:eastAsia="Calibri" w:hAnsi="Calibri" w:cs="Calibri"/>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DEEAF6"/>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Auditors shall follow the guidance included in the AICPA Codification of Statements on Standards for Attestation Engagements– AT-C Section 105, </w:t>
      </w:r>
      <w:r>
        <w:rPr>
          <w:rFonts w:ascii="Calibri" w:eastAsia="Calibri" w:hAnsi="Calibri" w:cs="Calibri"/>
          <w:i/>
          <w:sz w:val="22"/>
          <w:szCs w:val="22"/>
        </w:rPr>
        <w:t>Concepts Common to All Attestation Engagements</w:t>
      </w:r>
      <w:r>
        <w:rPr>
          <w:rFonts w:ascii="Calibri" w:eastAsia="Calibri" w:hAnsi="Calibri" w:cs="Calibri"/>
          <w:sz w:val="22"/>
          <w:szCs w:val="22"/>
        </w:rPr>
        <w:t xml:space="preserve">; AT-C Section 215, </w:t>
      </w:r>
      <w:r>
        <w:rPr>
          <w:rFonts w:ascii="Calibri" w:eastAsia="Calibri" w:hAnsi="Calibri" w:cs="Calibri"/>
          <w:i/>
          <w:sz w:val="22"/>
          <w:szCs w:val="22"/>
        </w:rPr>
        <w:t>Agreed-Upon Procedures Engagements</w:t>
      </w:r>
      <w:r>
        <w:rPr>
          <w:rFonts w:ascii="Calibri" w:eastAsia="Calibri" w:hAnsi="Calibri" w:cs="Calibri"/>
          <w:sz w:val="22"/>
          <w:szCs w:val="22"/>
        </w:rPr>
        <w:t xml:space="preserve">; and AT-C Section 315, </w:t>
      </w:r>
      <w:r>
        <w:rPr>
          <w:rFonts w:ascii="Calibri" w:eastAsia="Calibri" w:hAnsi="Calibri" w:cs="Calibri"/>
          <w:i/>
          <w:sz w:val="22"/>
          <w:szCs w:val="22"/>
        </w:rPr>
        <w:t>Compliance Attestation</w:t>
      </w:r>
      <w:r>
        <w:rPr>
          <w:rFonts w:ascii="Calibri" w:eastAsia="Calibri" w:hAnsi="Calibri" w:cs="Calibri"/>
          <w:sz w:val="22"/>
          <w:szCs w:val="22"/>
        </w:rPr>
        <w:t xml:space="preserve">.  The auditors shall comply with </w:t>
      </w:r>
      <w:r>
        <w:rPr>
          <w:rFonts w:ascii="Calibri" w:eastAsia="Calibri" w:hAnsi="Calibri" w:cs="Calibri"/>
          <w:i/>
          <w:sz w:val="22"/>
          <w:szCs w:val="22"/>
        </w:rPr>
        <w:t>Government Auditing Standards</w:t>
      </w:r>
      <w:r>
        <w:rPr>
          <w:rFonts w:ascii="Calibri" w:eastAsia="Calibri" w:hAnsi="Calibri" w:cs="Calibri"/>
          <w:sz w:val="22"/>
          <w:szCs w:val="22"/>
        </w:rPr>
        <w:t xml:space="preserve"> requirements for agreed-upon procedures engagements; specifically, paragraphs 5.58 through 5.67 (Please Note – S</w:t>
      </w:r>
      <w:r>
        <w:rPr>
          <w:rFonts w:ascii="Calibri" w:eastAsia="Calibri" w:hAnsi="Calibri" w:cs="Calibri"/>
          <w:sz w:val="22"/>
          <w:szCs w:val="22"/>
        </w:rPr>
        <w:t xml:space="preserve">tarting with fiscal 2020 engagements, the auditors shall comply with the 2018 Revision of </w:t>
      </w:r>
      <w:r>
        <w:rPr>
          <w:rFonts w:ascii="Calibri" w:eastAsia="Calibri" w:hAnsi="Calibri" w:cs="Calibri"/>
          <w:i/>
          <w:sz w:val="22"/>
          <w:szCs w:val="22"/>
        </w:rPr>
        <w:t>Government Auditing Standards (paragraphs 7.78 through 7.85)</w:t>
      </w:r>
      <w:r>
        <w:rPr>
          <w:rFonts w:ascii="Calibri" w:eastAsia="Calibri" w:hAnsi="Calibri" w:cs="Calibri"/>
          <w:sz w:val="22"/>
          <w:szCs w:val="22"/>
        </w:rPr>
        <w:t xml:space="preserve">. </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23"/>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A minimum sample of randomly selected expenditure transactions for the municipal school district, regi</w:t>
      </w:r>
      <w:r>
        <w:rPr>
          <w:rFonts w:ascii="Calibri" w:eastAsia="Calibri" w:hAnsi="Calibri" w:cs="Calibri"/>
          <w:b/>
          <w:sz w:val="22"/>
          <w:szCs w:val="22"/>
        </w:rPr>
        <w:t xml:space="preserve">onal school district, collaborative, State school, or charter school shall be tested for compliance with UCOA coding requirements.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Select a sample of 35, 45, or 60 (see below) transactions from the universe of all expenditures in the final UCOA format up</w:t>
      </w:r>
      <w:r>
        <w:rPr>
          <w:rFonts w:ascii="Calibri" w:eastAsia="Calibri" w:hAnsi="Calibri" w:cs="Calibri"/>
          <w:sz w:val="22"/>
          <w:szCs w:val="22"/>
        </w:rPr>
        <w:t>load file for the fiscal year as reported to the Rhode Island Department of Education (RIDE).  A detailed transaction level file should be obtained from the entity’s accounting system to correspond with the final UCOA upload file provided to RIDE for the p</w:t>
      </w:r>
      <w:r>
        <w:rPr>
          <w:rFonts w:ascii="Calibri" w:eastAsia="Calibri" w:hAnsi="Calibri" w:cs="Calibri"/>
          <w:sz w:val="22"/>
          <w:szCs w:val="22"/>
        </w:rPr>
        <w:t>receding fiscal year.  RIDE will provide a Validation Totals Report to each school district, collaborative, State school, and charter school to confirm the final upload file information.  The sample of transactions to be tested for compliance with UCOA cod</w:t>
      </w:r>
      <w:r>
        <w:rPr>
          <w:rFonts w:ascii="Calibri" w:eastAsia="Calibri" w:hAnsi="Calibri" w:cs="Calibri"/>
          <w:sz w:val="22"/>
          <w:szCs w:val="22"/>
        </w:rPr>
        <w:t>ing shall be selected randomly from the detailed transaction file for the fiscal year.</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Alternatively, the auditor may obtain a preliminary fiscal year file from the reporting entity’s accounting system for purposes of selecting a sample of transactions to</w:t>
      </w:r>
      <w:r>
        <w:rPr>
          <w:rFonts w:ascii="Calibri" w:eastAsia="Calibri" w:hAnsi="Calibri" w:cs="Calibri"/>
          <w:sz w:val="22"/>
          <w:szCs w:val="22"/>
        </w:rPr>
        <w:t xml:space="preserve"> test.  When a preliminary file is used for selecting the sample, the auditor will be required to reconcile changes from the preliminary file to the final validated upload file and determine the significance of any changes and assess the validity of the sa</w:t>
      </w:r>
      <w:r>
        <w:rPr>
          <w:rFonts w:ascii="Calibri" w:eastAsia="Calibri" w:hAnsi="Calibri" w:cs="Calibri"/>
          <w:sz w:val="22"/>
          <w:szCs w:val="22"/>
        </w:rPr>
        <w:t>mple.</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Sample size shall be determined as follows:  </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7"/>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Smaller school districts, regional school districts, collaboratives, State schools, or charter schools having aggregate fiscal year expenditures of less than $5 million shall utilize a minimum sample si</w:t>
      </w:r>
      <w:r>
        <w:rPr>
          <w:rFonts w:ascii="Calibri" w:eastAsia="Calibri" w:hAnsi="Calibri" w:cs="Calibri"/>
          <w:sz w:val="22"/>
          <w:szCs w:val="22"/>
        </w:rPr>
        <w:t xml:space="preserve">ze of </w:t>
      </w:r>
      <w:r>
        <w:rPr>
          <w:rFonts w:ascii="Calibri" w:eastAsia="Calibri" w:hAnsi="Calibri" w:cs="Calibri"/>
          <w:b/>
          <w:sz w:val="22"/>
          <w:szCs w:val="22"/>
        </w:rPr>
        <w:t>35</w:t>
      </w:r>
      <w:r>
        <w:rPr>
          <w:rFonts w:ascii="Calibri" w:eastAsia="Calibri" w:hAnsi="Calibri" w:cs="Calibri"/>
          <w:sz w:val="22"/>
          <w:szCs w:val="22"/>
        </w:rPr>
        <w:t xml:space="preserve"> transactions to be tested for UCOA coding compliance.</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School districts, regional school districts, collaboratives, State schools, or charter schools, having aggregate fiscal year expenditures greater than $5 million but less than $50 million, sha</w:t>
      </w:r>
      <w:r>
        <w:rPr>
          <w:rFonts w:ascii="Calibri" w:eastAsia="Calibri" w:hAnsi="Calibri" w:cs="Calibri"/>
          <w:sz w:val="22"/>
          <w:szCs w:val="22"/>
        </w:rPr>
        <w:t xml:space="preserve">ll utilize a minimum sample size of </w:t>
      </w:r>
      <w:r>
        <w:rPr>
          <w:rFonts w:ascii="Calibri" w:eastAsia="Calibri" w:hAnsi="Calibri" w:cs="Calibri"/>
          <w:b/>
          <w:sz w:val="22"/>
          <w:szCs w:val="22"/>
        </w:rPr>
        <w:t>45</w:t>
      </w:r>
      <w:r>
        <w:rPr>
          <w:rFonts w:ascii="Calibri" w:eastAsia="Calibri" w:hAnsi="Calibri" w:cs="Calibri"/>
          <w:sz w:val="22"/>
          <w:szCs w:val="22"/>
        </w:rPr>
        <w:t xml:space="preserve"> transactions to be tested for UCOA coding compliance provided there are no significant deficiencies and material weaknesses in internal control over financial reporting related to the accounting and financial reportin</w:t>
      </w:r>
      <w:r>
        <w:rPr>
          <w:rFonts w:ascii="Calibri" w:eastAsia="Calibri" w:hAnsi="Calibri" w:cs="Calibri"/>
          <w:sz w:val="22"/>
          <w:szCs w:val="22"/>
        </w:rPr>
        <w:t>g practices as reported in the current and prior audit.  School districts, regional school districts, collaboratives, State schools, or charter schools with expenditures greater than $5 million which also have significant deficiencies and material weakness</w:t>
      </w:r>
      <w:r>
        <w:rPr>
          <w:rFonts w:ascii="Calibri" w:eastAsia="Calibri" w:hAnsi="Calibri" w:cs="Calibri"/>
          <w:sz w:val="22"/>
          <w:szCs w:val="22"/>
        </w:rPr>
        <w:t xml:space="preserve">es in internal control over financial reporting related to the accounting and financial reporting practices as reported in the current and prior audit shall utilize a minimum sample size of </w:t>
      </w:r>
      <w:r>
        <w:rPr>
          <w:rFonts w:ascii="Calibri" w:eastAsia="Calibri" w:hAnsi="Calibri" w:cs="Calibri"/>
          <w:b/>
          <w:sz w:val="22"/>
          <w:szCs w:val="22"/>
        </w:rPr>
        <w:t xml:space="preserve">60 </w:t>
      </w:r>
      <w:r>
        <w:rPr>
          <w:rFonts w:ascii="Calibri" w:eastAsia="Calibri" w:hAnsi="Calibri" w:cs="Calibri"/>
          <w:sz w:val="22"/>
          <w:szCs w:val="22"/>
        </w:rPr>
        <w:t>transactions.</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lastRenderedPageBreak/>
        <w:t>School districts, regional school districts, col</w:t>
      </w:r>
      <w:r>
        <w:rPr>
          <w:rFonts w:ascii="Calibri" w:eastAsia="Calibri" w:hAnsi="Calibri" w:cs="Calibri"/>
          <w:sz w:val="22"/>
          <w:szCs w:val="22"/>
        </w:rPr>
        <w:t xml:space="preserve">laboratives, State schools, or charter schools, having aggregate fiscal year expenditures greater than $50 million, shall utilize a minimum sample size of </w:t>
      </w:r>
      <w:r>
        <w:rPr>
          <w:rFonts w:ascii="Calibri" w:eastAsia="Calibri" w:hAnsi="Calibri" w:cs="Calibri"/>
          <w:b/>
          <w:sz w:val="22"/>
          <w:szCs w:val="22"/>
        </w:rPr>
        <w:t>60</w:t>
      </w:r>
      <w:r>
        <w:rPr>
          <w:rFonts w:ascii="Calibri" w:eastAsia="Calibri" w:hAnsi="Calibri" w:cs="Calibri"/>
          <w:sz w:val="22"/>
          <w:szCs w:val="22"/>
        </w:rPr>
        <w:t xml:space="preserve"> transactions to be tested for UCOA coding compliance.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Examine supporting vendor invoices, journ</w:t>
      </w:r>
      <w:r>
        <w:rPr>
          <w:rFonts w:ascii="Calibri" w:eastAsia="Calibri" w:hAnsi="Calibri" w:cs="Calibri"/>
          <w:sz w:val="22"/>
          <w:szCs w:val="22"/>
        </w:rPr>
        <w:t>al entries, and other supporting documentation to determine if the expenditure has been appropriately classified based upon UCOA classification requirements included in the Uniform Chart of Accounts guidance for the fiscal year.  The segments of the accoun</w:t>
      </w:r>
      <w:r>
        <w:rPr>
          <w:rFonts w:ascii="Calibri" w:eastAsia="Calibri" w:hAnsi="Calibri" w:cs="Calibri"/>
          <w:sz w:val="22"/>
          <w:szCs w:val="22"/>
        </w:rPr>
        <w:t>t number to be tested for compliance shall include the following:</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2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Fund/Subfund</w:t>
      </w:r>
    </w:p>
    <w:p w:rsidR="00A22F56" w:rsidRDefault="00506037">
      <w:pPr>
        <w:numPr>
          <w:ilvl w:val="0"/>
          <w:numId w:val="2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Location</w:t>
      </w:r>
    </w:p>
    <w:p w:rsidR="00A22F56" w:rsidRDefault="00506037">
      <w:pPr>
        <w:numPr>
          <w:ilvl w:val="0"/>
          <w:numId w:val="2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Function</w:t>
      </w:r>
    </w:p>
    <w:p w:rsidR="00A22F56" w:rsidRDefault="00506037">
      <w:pPr>
        <w:numPr>
          <w:ilvl w:val="0"/>
          <w:numId w:val="2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Program</w:t>
      </w:r>
    </w:p>
    <w:p w:rsidR="00A22F56" w:rsidRDefault="00506037">
      <w:pPr>
        <w:numPr>
          <w:ilvl w:val="0"/>
          <w:numId w:val="2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Subject </w:t>
      </w:r>
    </w:p>
    <w:p w:rsidR="00A22F56" w:rsidRDefault="00506037">
      <w:pPr>
        <w:numPr>
          <w:ilvl w:val="0"/>
          <w:numId w:val="2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Object </w:t>
      </w:r>
    </w:p>
    <w:p w:rsidR="00A22F56" w:rsidRDefault="00506037">
      <w:pPr>
        <w:numPr>
          <w:ilvl w:val="0"/>
          <w:numId w:val="25"/>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Job classification (for applicable personnel costs)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For personnel costs selected for testing, Location (school/department) and Job Classification shall be tested by tracing the employee name to the entity’s assignment roster for the applicable school year.</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All noncompliance found in the sample of expenditure transactions tested for compliance with UCOA classification requirements shall be reported.  Each instance of noncompliance shall describe the transaction and the specific noncompliance observed.</w:t>
      </w:r>
      <w:r>
        <w:rPr>
          <w:sz w:val="28"/>
          <w:szCs w:val="28"/>
        </w:rPr>
        <w:t xml:space="preserve">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     </w:t>
      </w:r>
    </w:p>
    <w:p w:rsidR="00A22F56" w:rsidRDefault="00506037">
      <w:pPr>
        <w:numPr>
          <w:ilvl w:val="0"/>
          <w:numId w:val="23"/>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UCOA accounts are used and UCOA methodologies are followed in the accounting system and records of each reporting entity.  Determine if the entity’s systems and procedures support the following UCOA requirements:</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33"/>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Total activity (revenue and expenditures)</w:t>
      </w:r>
      <w:r>
        <w:rPr>
          <w:rFonts w:ascii="Calibri" w:eastAsia="Calibri" w:hAnsi="Calibri" w:cs="Calibri"/>
          <w:sz w:val="22"/>
          <w:szCs w:val="22"/>
        </w:rPr>
        <w:t xml:space="preserve"> of the entity for the fiscal year as reported (uploaded) to the UCOA database as of the final upload date shall be reconciled to the total activity within each Fund/Subfund of the municipal school district, regional school district, collaborative, State s</w:t>
      </w:r>
      <w:r>
        <w:rPr>
          <w:rFonts w:ascii="Calibri" w:eastAsia="Calibri" w:hAnsi="Calibri" w:cs="Calibri"/>
          <w:sz w:val="22"/>
          <w:szCs w:val="22"/>
        </w:rPr>
        <w:t xml:space="preserve">chool, or charter school as reported in the final audited financial statements.  </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33"/>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The UCOA accounts and methodologies are maintained within the actual accounting systems and are not converted to UCOA requirements outside of the accounting system.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Determine if any variance exists in revenue or expenditures between the total amounts reported (uploaded) to the UCOA database and audited amounts reported within the Fund/Subfund on the financial statements of the municipal school district, regional schoo</w:t>
      </w:r>
      <w:r>
        <w:rPr>
          <w:rFonts w:ascii="Calibri" w:eastAsia="Calibri" w:hAnsi="Calibri" w:cs="Calibri"/>
          <w:sz w:val="22"/>
          <w:szCs w:val="22"/>
        </w:rPr>
        <w:t>l district, collaborative, or charter school.  Any variances shall be reported.  A transfer of appropriations from the municipality’s general fund to the unrestricted school fund is treated as revenue in the unrestricted school fund for UCOA reporting purp</w:t>
      </w:r>
      <w:r>
        <w:rPr>
          <w:rFonts w:ascii="Calibri" w:eastAsia="Calibri" w:hAnsi="Calibri" w:cs="Calibri"/>
          <w:sz w:val="22"/>
          <w:szCs w:val="22"/>
        </w:rPr>
        <w:t xml:space="preserve">oses and should be reported as a proper reconciling item.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i/>
          <w:sz w:val="22"/>
          <w:szCs w:val="22"/>
        </w:rPr>
      </w:pPr>
      <w:r>
        <w:rPr>
          <w:rFonts w:ascii="Calibri" w:eastAsia="Calibri" w:hAnsi="Calibri" w:cs="Calibri"/>
          <w:b/>
          <w:i/>
          <w:sz w:val="22"/>
          <w:szCs w:val="22"/>
          <w:u w:val="single"/>
        </w:rPr>
        <w:t>Please Note</w:t>
      </w:r>
      <w:r>
        <w:rPr>
          <w:rFonts w:ascii="Calibri" w:eastAsia="Calibri" w:hAnsi="Calibri" w:cs="Calibri"/>
          <w:b/>
          <w:i/>
          <w:sz w:val="22"/>
          <w:szCs w:val="22"/>
        </w:rPr>
        <w:t xml:space="preserve">: </w:t>
      </w:r>
    </w:p>
    <w:p w:rsidR="00A22F56" w:rsidRDefault="00A22F56">
      <w:pPr>
        <w:spacing w:line="240" w:lineRule="auto"/>
        <w:ind w:left="0" w:hanging="2"/>
        <w:jc w:val="both"/>
        <w:rPr>
          <w:rFonts w:ascii="Calibri" w:eastAsia="Calibri" w:hAnsi="Calibri" w:cs="Calibri"/>
          <w:i/>
          <w:sz w:val="22"/>
          <w:szCs w:val="22"/>
        </w:rPr>
      </w:pPr>
    </w:p>
    <w:p w:rsidR="00A22F56" w:rsidRDefault="00506037">
      <w:pPr>
        <w:numPr>
          <w:ilvl w:val="0"/>
          <w:numId w:val="58"/>
        </w:numPr>
        <w:spacing w:line="240" w:lineRule="auto"/>
        <w:ind w:left="0" w:hanging="2"/>
        <w:jc w:val="both"/>
        <w:rPr>
          <w:rFonts w:ascii="Calibri" w:eastAsia="Calibri" w:hAnsi="Calibri" w:cs="Calibri"/>
          <w:i/>
          <w:sz w:val="22"/>
          <w:szCs w:val="22"/>
        </w:rPr>
      </w:pPr>
      <w:r>
        <w:rPr>
          <w:rFonts w:ascii="Calibri" w:eastAsia="Calibri" w:hAnsi="Calibri" w:cs="Calibri"/>
          <w:i/>
          <w:sz w:val="22"/>
          <w:szCs w:val="22"/>
        </w:rPr>
        <w:t>The reporting entity will be required to amend its UCOA upload file to include final amounts which reflect audit adjustments, if applicable.</w:t>
      </w:r>
    </w:p>
    <w:p w:rsidR="00A22F56" w:rsidRDefault="00A22F56">
      <w:pPr>
        <w:spacing w:line="240" w:lineRule="auto"/>
        <w:ind w:left="0" w:hanging="2"/>
        <w:jc w:val="both"/>
        <w:rPr>
          <w:rFonts w:ascii="Calibri" w:eastAsia="Calibri" w:hAnsi="Calibri" w:cs="Calibri"/>
          <w:i/>
          <w:sz w:val="22"/>
          <w:szCs w:val="22"/>
        </w:rPr>
      </w:pPr>
    </w:p>
    <w:p w:rsidR="00A22F56" w:rsidRDefault="00506037">
      <w:pPr>
        <w:numPr>
          <w:ilvl w:val="0"/>
          <w:numId w:val="58"/>
        </w:numPr>
        <w:spacing w:line="240" w:lineRule="auto"/>
        <w:ind w:left="0" w:hanging="2"/>
        <w:jc w:val="both"/>
        <w:rPr>
          <w:rFonts w:ascii="Calibri" w:eastAsia="Calibri" w:hAnsi="Calibri" w:cs="Calibri"/>
          <w:i/>
          <w:sz w:val="22"/>
          <w:szCs w:val="22"/>
        </w:rPr>
      </w:pPr>
      <w:r>
        <w:rPr>
          <w:rFonts w:ascii="Calibri" w:eastAsia="Calibri" w:hAnsi="Calibri" w:cs="Calibri"/>
          <w:i/>
          <w:sz w:val="22"/>
          <w:szCs w:val="22"/>
        </w:rPr>
        <w:t>For school districts with a fiscal ye</w:t>
      </w:r>
      <w:r>
        <w:rPr>
          <w:rFonts w:ascii="Calibri" w:eastAsia="Calibri" w:hAnsi="Calibri" w:cs="Calibri"/>
          <w:i/>
          <w:sz w:val="22"/>
          <w:szCs w:val="22"/>
        </w:rPr>
        <w:t>ar end of June 30, the reconciliation between the audited financial statements and the UCOA file is not required to be presented in the AUP reporting package because a three-way reconciliation between the audited financial statements, the Municipal Transpa</w:t>
      </w:r>
      <w:r>
        <w:rPr>
          <w:rFonts w:ascii="Calibri" w:eastAsia="Calibri" w:hAnsi="Calibri" w:cs="Calibri"/>
          <w:i/>
          <w:sz w:val="22"/>
          <w:szCs w:val="22"/>
        </w:rPr>
        <w:t xml:space="preserve">rency Portal (MTP) schedules, and the UCOA file would be presented in the audited financial statements as other supplementary information.  It shall be noted in the AUP report that </w:t>
      </w:r>
      <w:r>
        <w:rPr>
          <w:rFonts w:ascii="Calibri" w:eastAsia="Calibri" w:hAnsi="Calibri" w:cs="Calibri"/>
          <w:i/>
          <w:sz w:val="22"/>
          <w:szCs w:val="22"/>
        </w:rPr>
        <w:lastRenderedPageBreak/>
        <w:t>the three-way reconciliation is presented in the audit report.  All other s</w:t>
      </w:r>
      <w:r>
        <w:rPr>
          <w:rFonts w:ascii="Calibri" w:eastAsia="Calibri" w:hAnsi="Calibri" w:cs="Calibri"/>
          <w:i/>
          <w:sz w:val="22"/>
          <w:szCs w:val="22"/>
        </w:rPr>
        <w:t>chool entities (i.e., school districts with a fiscal year end other than June 30, charter schools, State schools, and collaboratives) shall continue to include the reconciliation in the AUP report.</w:t>
      </w:r>
    </w:p>
    <w:p w:rsidR="00A22F56" w:rsidRDefault="00A22F56">
      <w:pPr>
        <w:spacing w:line="240" w:lineRule="auto"/>
        <w:ind w:left="0" w:hanging="2"/>
        <w:rPr>
          <w:rFonts w:ascii="Calibri" w:eastAsia="Calibri" w:hAnsi="Calibri" w:cs="Calibri"/>
          <w:sz w:val="22"/>
          <w:szCs w:val="22"/>
        </w:rPr>
      </w:pPr>
    </w:p>
    <w:p w:rsidR="00A22F56" w:rsidRDefault="00506037">
      <w:pPr>
        <w:spacing w:line="240" w:lineRule="auto"/>
        <w:ind w:left="0" w:hanging="2"/>
        <w:rPr>
          <w:rFonts w:ascii="Calibri" w:eastAsia="Calibri" w:hAnsi="Calibri" w:cs="Calibri"/>
          <w:sz w:val="22"/>
          <w:szCs w:val="22"/>
        </w:rPr>
      </w:pPr>
      <w:r>
        <w:rPr>
          <w:rFonts w:ascii="Calibri" w:eastAsia="Calibri" w:hAnsi="Calibri" w:cs="Calibri"/>
          <w:sz w:val="22"/>
          <w:szCs w:val="22"/>
        </w:rPr>
        <w:t xml:space="preserve">Determine if the amounts reported (uploaded) to the UCOA </w:t>
      </w:r>
      <w:r>
        <w:rPr>
          <w:rFonts w:ascii="Calibri" w:eastAsia="Calibri" w:hAnsi="Calibri" w:cs="Calibri"/>
          <w:sz w:val="22"/>
          <w:szCs w:val="22"/>
        </w:rPr>
        <w:t>database are present in form and content within the accounting system of the reporting entity by requesting a copy of the last report of coding errors identified by RIDE just prior to the final upload with zero errors.  Trace to the corrections made to the</w:t>
      </w:r>
      <w:r>
        <w:rPr>
          <w:rFonts w:ascii="Calibri" w:eastAsia="Calibri" w:hAnsi="Calibri" w:cs="Calibri"/>
          <w:sz w:val="22"/>
          <w:szCs w:val="22"/>
        </w:rPr>
        <w:t xml:space="preserve"> school’s accounting system to address the errors.   All errors shall be tested, up to a maximum of five errors if more than five errors are listed.</w:t>
      </w:r>
    </w:p>
    <w:p w:rsidR="00A22F56" w:rsidRDefault="00A22F56">
      <w:pPr>
        <w:spacing w:line="240" w:lineRule="auto"/>
        <w:ind w:left="0" w:hanging="2"/>
        <w:rPr>
          <w:rFonts w:ascii="Calibri" w:eastAsia="Calibri" w:hAnsi="Calibri" w:cs="Calibri"/>
          <w:sz w:val="22"/>
          <w:szCs w:val="22"/>
          <w:highlight w:val="yellow"/>
        </w:rPr>
      </w:pP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23"/>
        </w:numPr>
        <w:spacing w:line="240" w:lineRule="auto"/>
        <w:ind w:left="0" w:hanging="2"/>
        <w:jc w:val="both"/>
        <w:rPr>
          <w:rFonts w:ascii="Calibri" w:eastAsia="Calibri" w:hAnsi="Calibri" w:cs="Calibri"/>
          <w:b/>
          <w:sz w:val="22"/>
          <w:szCs w:val="22"/>
        </w:rPr>
      </w:pPr>
      <w:bookmarkStart w:id="5" w:name="_heading=h.tyjcwt" w:colFirst="0" w:colLast="0"/>
      <w:bookmarkEnd w:id="5"/>
      <w:r>
        <w:rPr>
          <w:rFonts w:ascii="Calibri" w:eastAsia="Calibri" w:hAnsi="Calibri" w:cs="Calibri"/>
          <w:b/>
          <w:sz w:val="22"/>
          <w:szCs w:val="22"/>
        </w:rPr>
        <w:t>Tuition costs are subject to various UCOA coding requirements.  Determine if the entity has complied with</w:t>
      </w:r>
      <w:r>
        <w:rPr>
          <w:rFonts w:ascii="Calibri" w:eastAsia="Calibri" w:hAnsi="Calibri" w:cs="Calibri"/>
          <w:b/>
          <w:sz w:val="22"/>
          <w:szCs w:val="22"/>
        </w:rPr>
        <w:t xml:space="preserve"> the UCOA requirements for reporting tuition costs:</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38"/>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 xml:space="preserve">Tuition costs may be charged to one of eight different expenditure object codes in the 55600 series, depending to whom the tuition payment is made (e.g., another school district within the State, a charter school, a private school, etc - refer to the gray </w:t>
      </w:r>
      <w:r>
        <w:rPr>
          <w:rFonts w:ascii="Calibri" w:eastAsia="Calibri" w:hAnsi="Calibri" w:cs="Calibri"/>
          <w:b/>
          <w:sz w:val="22"/>
          <w:szCs w:val="22"/>
        </w:rPr>
        <w:t>box for details).  In addition to tuition charges, the billings from an outside provider may also include costs for personal aides and other similar charges.  Such charges are part of the services being provided to the student and should be captured in the</w:t>
      </w:r>
      <w:r>
        <w:rPr>
          <w:rFonts w:ascii="Calibri" w:eastAsia="Calibri" w:hAnsi="Calibri" w:cs="Calibri"/>
          <w:b/>
          <w:sz w:val="22"/>
          <w:szCs w:val="22"/>
        </w:rPr>
        <w:t xml:space="preserve"> same Object account for Tuition costs.  This maintains consistency in application of costs of this nature.  </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38"/>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For all Tuition accounts in the Object 55600 series, the Location will always be an Out-of-District account which will be limited to Location Typ</w:t>
      </w:r>
      <w:r>
        <w:rPr>
          <w:rFonts w:ascii="Calibri" w:eastAsia="Calibri" w:hAnsi="Calibri" w:cs="Calibri"/>
          <w:b/>
          <w:sz w:val="22"/>
          <w:szCs w:val="22"/>
        </w:rPr>
        <w:t xml:space="preserve">es 07, 08, 10, 11, and 13.  </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38"/>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An Out-of-District Location is defined not by the geographic boundaries, but by who “owns” the Non-Public/Private School.  By definition, all entities to which Tuition is paid are Out-of-District Locations.  Accordingly, only Function 431 (Public, Parochia</w:t>
      </w:r>
      <w:r>
        <w:rPr>
          <w:rFonts w:ascii="Calibri" w:eastAsia="Calibri" w:hAnsi="Calibri" w:cs="Calibri"/>
          <w:b/>
          <w:sz w:val="22"/>
          <w:szCs w:val="22"/>
        </w:rPr>
        <w:t>l, Private, and Charter School Pass-Throughs) may be used with the Tuition Object codes in the 55600 series.</w:t>
      </w: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38"/>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The Tuition Object 55600 series may be used with any Fund Type except 40 (Debt Service Funds) and 90 (Agency Funds/Custodial Funds).</w:t>
      </w: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38"/>
        </w:numPr>
        <w:spacing w:line="240" w:lineRule="auto"/>
        <w:ind w:left="0" w:hanging="2"/>
        <w:jc w:val="both"/>
        <w:rPr>
          <w:rFonts w:ascii="Calibri" w:eastAsia="Calibri" w:hAnsi="Calibri" w:cs="Calibri"/>
          <w:b/>
          <w:sz w:val="22"/>
          <w:szCs w:val="22"/>
        </w:rPr>
      </w:pPr>
      <w:r>
        <w:rPr>
          <w:rFonts w:ascii="Calibri" w:eastAsia="Calibri" w:hAnsi="Calibri" w:cs="Calibri"/>
          <w:b/>
          <w:color w:val="000000"/>
          <w:sz w:val="22"/>
          <w:szCs w:val="22"/>
        </w:rPr>
        <w:t xml:space="preserve">For Special </w:t>
      </w:r>
      <w:r>
        <w:rPr>
          <w:rFonts w:ascii="Calibri" w:eastAsia="Calibri" w:hAnsi="Calibri" w:cs="Calibri"/>
          <w:b/>
          <w:color w:val="000000"/>
          <w:sz w:val="22"/>
          <w:szCs w:val="22"/>
        </w:rPr>
        <w:t>Education students, Program 20 is used for students who are district-placed or program 50 for students who are parentally-placed in the alternative location.   For non-Special Education students, Program codes 30, 40, 50, or Program 10 series should be use</w:t>
      </w:r>
      <w:r>
        <w:rPr>
          <w:rFonts w:ascii="Calibri" w:eastAsia="Calibri" w:hAnsi="Calibri" w:cs="Calibri"/>
          <w:b/>
          <w:color w:val="000000"/>
          <w:sz w:val="22"/>
          <w:szCs w:val="22"/>
        </w:rPr>
        <w:t xml:space="preserve">d.  Program code 30 should be used for tuition payments (and other associated costs) for students to attend Career and Technical programs in other Districts or Charter Schools.   </w:t>
      </w: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38"/>
        </w:numPr>
        <w:spacing w:line="240" w:lineRule="auto"/>
        <w:ind w:left="0" w:hanging="2"/>
        <w:jc w:val="both"/>
        <w:rPr>
          <w:rFonts w:ascii="Calibri" w:eastAsia="Calibri" w:hAnsi="Calibri" w:cs="Calibri"/>
          <w:b/>
          <w:sz w:val="22"/>
          <w:szCs w:val="22"/>
        </w:rPr>
      </w:pPr>
      <w:r>
        <w:rPr>
          <w:rFonts w:ascii="Calibri" w:eastAsia="Calibri" w:hAnsi="Calibri" w:cs="Calibri"/>
          <w:b/>
          <w:color w:val="000000"/>
          <w:sz w:val="22"/>
          <w:szCs w:val="22"/>
        </w:rPr>
        <w:t>Any Subject codes can be used with Tuition costs except 2701, 2702, 2703, 9</w:t>
      </w:r>
      <w:r>
        <w:rPr>
          <w:rFonts w:ascii="Calibri" w:eastAsia="Calibri" w:hAnsi="Calibri" w:cs="Calibri"/>
          <w:b/>
          <w:color w:val="000000"/>
          <w:sz w:val="22"/>
          <w:szCs w:val="22"/>
        </w:rPr>
        <w:t xml:space="preserve">700, 9800, and 9900.  Subject Series 2100 is used for Special Education and 1400 series with Career and Technical programs.  </w:t>
      </w: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38"/>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Only Job Classification code 0000 should be used with tuition payments.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Obtain an extract from the accounting system of all tran</w:t>
      </w:r>
      <w:r>
        <w:rPr>
          <w:rFonts w:ascii="Calibri" w:eastAsia="Calibri" w:hAnsi="Calibri" w:cs="Calibri"/>
          <w:sz w:val="22"/>
          <w:szCs w:val="22"/>
        </w:rPr>
        <w:t xml:space="preserve">sactions posted to the 55600 series object codes (tuition expenditures):  </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40"/>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Select a random sample of 10 transactions.  If tuition payments are posted to Program 10 (General Education), at least half of the sample (or five) shall be selected from Program 1</w:t>
      </w:r>
      <w:r>
        <w:rPr>
          <w:rFonts w:ascii="Calibri" w:eastAsia="Calibri" w:hAnsi="Calibri" w:cs="Calibri"/>
          <w:sz w:val="22"/>
          <w:szCs w:val="22"/>
        </w:rPr>
        <w:t xml:space="preserve">0.  Transactions tested in Compliance Testing Requirement No. 1 may also be used to satisfy the compliance testing requirement for tuition payments if the selected transaction was posted to a tuition object code in the 55600 series.     </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0"/>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lastRenderedPageBreak/>
        <w:t>Examine the billi</w:t>
      </w:r>
      <w:r>
        <w:rPr>
          <w:rFonts w:ascii="Calibri" w:eastAsia="Calibri" w:hAnsi="Calibri" w:cs="Calibri"/>
          <w:sz w:val="22"/>
          <w:szCs w:val="22"/>
        </w:rPr>
        <w:t xml:space="preserve">ng invoices (and any additional supporting documentation submitted by the provider) to determine if the expenditure was appropriately coded based upon UCOA rules for tuition payments.  The segments of the account number to be tested include the following: </w:t>
      </w:r>
      <w:r>
        <w:rPr>
          <w:rFonts w:ascii="Calibri" w:eastAsia="Calibri" w:hAnsi="Calibri" w:cs="Calibri"/>
          <w:sz w:val="22"/>
          <w:szCs w:val="22"/>
        </w:rPr>
        <w:t xml:space="preserve">object, location, fund, function, program, subject, and job classification codes.  Particular attention shall be focused on the program segment and whether career and technical programs are appropriately coded as Program Code 30.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right="-270" w:hanging="2"/>
        <w:jc w:val="both"/>
        <w:rPr>
          <w:rFonts w:ascii="Calibri" w:eastAsia="Calibri" w:hAnsi="Calibri" w:cs="Calibri"/>
          <w:sz w:val="22"/>
          <w:szCs w:val="22"/>
        </w:rPr>
      </w:pPr>
      <w:r>
        <w:rPr>
          <w:rFonts w:ascii="Calibri" w:eastAsia="Calibri" w:hAnsi="Calibri" w:cs="Calibri"/>
          <w:sz w:val="22"/>
          <w:szCs w:val="22"/>
        </w:rPr>
        <w:t xml:space="preserve">All noncompliance found </w:t>
      </w:r>
      <w:r>
        <w:rPr>
          <w:rFonts w:ascii="Calibri" w:eastAsia="Calibri" w:hAnsi="Calibri" w:cs="Calibri"/>
          <w:sz w:val="22"/>
          <w:szCs w:val="22"/>
        </w:rPr>
        <w:t>in the sample transactions tested for compliance with UCOA classification requirements shall be reported.  Each instance of noncompliance shall describe the transaction, including the dollar amount and the specific noncompliance observed.</w:t>
      </w:r>
    </w:p>
    <w:p w:rsidR="00A22F56" w:rsidRDefault="00A22F56">
      <w:pPr>
        <w:spacing w:after="160" w:line="259" w:lineRule="auto"/>
        <w:ind w:left="0" w:hanging="2"/>
        <w:rPr>
          <w:rFonts w:ascii="Calibri" w:eastAsia="Calibri" w:hAnsi="Calibri" w:cs="Calibri"/>
          <w:sz w:val="22"/>
          <w:szCs w:val="22"/>
        </w:rPr>
      </w:pP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jc w:val="center"/>
        <w:rPr>
          <w:rFonts w:ascii="Calibri" w:eastAsia="Calibri" w:hAnsi="Calibri" w:cs="Calibri"/>
          <w:b/>
          <w:i/>
          <w:sz w:val="22"/>
          <w:szCs w:val="22"/>
          <w:u w:val="single"/>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jc w:val="center"/>
        <w:rPr>
          <w:rFonts w:ascii="Calibri" w:eastAsia="Calibri" w:hAnsi="Calibri" w:cs="Calibri"/>
          <w:b/>
          <w:i/>
          <w:sz w:val="22"/>
          <w:szCs w:val="22"/>
          <w:u w:val="single"/>
        </w:rPr>
      </w:pPr>
      <w:r>
        <w:rPr>
          <w:rFonts w:ascii="Calibri" w:eastAsia="Calibri" w:hAnsi="Calibri" w:cs="Calibri"/>
          <w:b/>
          <w:i/>
          <w:sz w:val="22"/>
          <w:szCs w:val="22"/>
          <w:u w:val="single"/>
        </w:rPr>
        <w:t>UCOA Rules for Tuition Costs:</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b/>
          <w:i/>
          <w:sz w:val="22"/>
          <w:szCs w:val="22"/>
        </w:rPr>
      </w:pPr>
      <w:r>
        <w:rPr>
          <w:rFonts w:ascii="Calibri" w:eastAsia="Calibri" w:hAnsi="Calibri" w:cs="Calibri"/>
          <w:b/>
          <w:i/>
          <w:sz w:val="22"/>
          <w:szCs w:val="22"/>
        </w:rPr>
        <w:t xml:space="preserve">Object and Location Types: </w:t>
      </w:r>
      <w:r>
        <w:rPr>
          <w:rFonts w:ascii="Calibri" w:eastAsia="Calibri" w:hAnsi="Calibri" w:cs="Calibri"/>
          <w:i/>
          <w:sz w:val="22"/>
          <w:szCs w:val="22"/>
        </w:rPr>
        <w:t xml:space="preserve">Use the following object code and location type for tuition costs: </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line="240" w:lineRule="auto"/>
        <w:ind w:left="0" w:hanging="2"/>
        <w:rPr>
          <w:rFonts w:ascii="Calibri" w:eastAsia="Calibri" w:hAnsi="Calibri" w:cs="Calibri"/>
          <w:b/>
          <w:i/>
          <w:sz w:val="20"/>
          <w:szCs w:val="20"/>
        </w:rPr>
      </w:pPr>
      <w:r>
        <w:rPr>
          <w:rFonts w:ascii="Calibri" w:eastAsia="Calibri" w:hAnsi="Calibri" w:cs="Calibri"/>
          <w:i/>
          <w:sz w:val="20"/>
          <w:szCs w:val="20"/>
        </w:rPr>
        <w:tab/>
      </w:r>
      <w:r>
        <w:rPr>
          <w:rFonts w:ascii="Calibri" w:eastAsia="Calibri" w:hAnsi="Calibri" w:cs="Calibri"/>
          <w:b/>
          <w:i/>
          <w:sz w:val="20"/>
          <w:szCs w:val="20"/>
          <w:u w:val="single"/>
        </w:rPr>
        <w:t>Object</w:t>
      </w:r>
      <w:r>
        <w:rPr>
          <w:rFonts w:ascii="Calibri" w:eastAsia="Calibri" w:hAnsi="Calibri" w:cs="Calibri"/>
          <w:b/>
          <w:i/>
          <w:sz w:val="20"/>
          <w:szCs w:val="20"/>
        </w:rPr>
        <w:tab/>
      </w:r>
      <w:r>
        <w:rPr>
          <w:rFonts w:ascii="Calibri" w:eastAsia="Calibri" w:hAnsi="Calibri" w:cs="Calibri"/>
          <w:b/>
          <w:i/>
          <w:sz w:val="20"/>
          <w:szCs w:val="20"/>
          <w:u w:val="single"/>
        </w:rPr>
        <w:t>Location Type</w:t>
      </w:r>
      <w:r>
        <w:rPr>
          <w:rFonts w:ascii="Calibri" w:eastAsia="Calibri" w:hAnsi="Calibri" w:cs="Calibri"/>
          <w:b/>
          <w:i/>
          <w:sz w:val="20"/>
          <w:szCs w:val="20"/>
        </w:rPr>
        <w:t xml:space="preserve"> </w:t>
      </w:r>
      <w:r>
        <w:rPr>
          <w:rFonts w:ascii="Calibri" w:eastAsia="Calibri" w:hAnsi="Calibri" w:cs="Calibri"/>
          <w:b/>
          <w:i/>
          <w:sz w:val="20"/>
          <w:szCs w:val="20"/>
        </w:rPr>
        <w:tab/>
      </w:r>
      <w:r>
        <w:rPr>
          <w:rFonts w:ascii="Calibri" w:eastAsia="Calibri" w:hAnsi="Calibri" w:cs="Calibri"/>
          <w:b/>
          <w:i/>
          <w:sz w:val="20"/>
          <w:szCs w:val="20"/>
          <w:u w:val="single"/>
        </w:rPr>
        <w:t>Description</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after="60" w:line="240" w:lineRule="auto"/>
        <w:ind w:left="0" w:hanging="2"/>
        <w:rPr>
          <w:rFonts w:ascii="Calibri" w:eastAsia="Calibri" w:hAnsi="Calibri" w:cs="Calibri"/>
          <w:i/>
          <w:sz w:val="20"/>
          <w:szCs w:val="20"/>
        </w:rPr>
      </w:pPr>
      <w:r>
        <w:rPr>
          <w:rFonts w:ascii="Calibri" w:eastAsia="Calibri" w:hAnsi="Calibri" w:cs="Calibri"/>
          <w:i/>
          <w:sz w:val="20"/>
          <w:szCs w:val="20"/>
        </w:rPr>
        <w:tab/>
        <w:t>55610</w:t>
      </w:r>
      <w:r>
        <w:rPr>
          <w:rFonts w:ascii="Calibri" w:eastAsia="Calibri" w:hAnsi="Calibri" w:cs="Calibri"/>
          <w:i/>
          <w:sz w:val="20"/>
          <w:szCs w:val="20"/>
        </w:rPr>
        <w:tab/>
        <w:t>Type 07</w:t>
      </w:r>
      <w:r>
        <w:rPr>
          <w:rFonts w:ascii="Calibri" w:eastAsia="Calibri" w:hAnsi="Calibri" w:cs="Calibri"/>
          <w:i/>
          <w:sz w:val="20"/>
          <w:szCs w:val="20"/>
        </w:rPr>
        <w:tab/>
        <w:t>Tuition to Other School Districts within the State</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after="60" w:line="240" w:lineRule="auto"/>
        <w:ind w:left="0" w:hanging="2"/>
        <w:rPr>
          <w:rFonts w:ascii="Calibri" w:eastAsia="Calibri" w:hAnsi="Calibri" w:cs="Calibri"/>
          <w:i/>
          <w:sz w:val="20"/>
          <w:szCs w:val="20"/>
        </w:rPr>
      </w:pPr>
      <w:r>
        <w:rPr>
          <w:rFonts w:ascii="Calibri" w:eastAsia="Calibri" w:hAnsi="Calibri" w:cs="Calibri"/>
          <w:i/>
          <w:sz w:val="20"/>
          <w:szCs w:val="20"/>
        </w:rPr>
        <w:tab/>
        <w:t>55620</w:t>
      </w:r>
      <w:r>
        <w:rPr>
          <w:rFonts w:ascii="Calibri" w:eastAsia="Calibri" w:hAnsi="Calibri" w:cs="Calibri"/>
          <w:i/>
          <w:sz w:val="20"/>
          <w:szCs w:val="20"/>
        </w:rPr>
        <w:tab/>
        <w:t>Type 13</w:t>
      </w:r>
      <w:r>
        <w:rPr>
          <w:rFonts w:ascii="Calibri" w:eastAsia="Calibri" w:hAnsi="Calibri" w:cs="Calibri"/>
          <w:i/>
          <w:sz w:val="20"/>
          <w:szCs w:val="20"/>
        </w:rPr>
        <w:tab/>
      </w:r>
      <w:r>
        <w:rPr>
          <w:rFonts w:ascii="Calibri" w:eastAsia="Calibri" w:hAnsi="Calibri" w:cs="Calibri"/>
          <w:i/>
          <w:sz w:val="20"/>
          <w:szCs w:val="20"/>
        </w:rPr>
        <w:t>Tuition to Other School Districts outside the State</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after="60" w:line="240" w:lineRule="auto"/>
        <w:ind w:left="0" w:hanging="2"/>
        <w:rPr>
          <w:rFonts w:ascii="Calibri" w:eastAsia="Calibri" w:hAnsi="Calibri" w:cs="Calibri"/>
          <w:i/>
          <w:sz w:val="20"/>
          <w:szCs w:val="20"/>
        </w:rPr>
      </w:pPr>
      <w:r>
        <w:rPr>
          <w:rFonts w:ascii="Calibri" w:eastAsia="Calibri" w:hAnsi="Calibri" w:cs="Calibri"/>
          <w:i/>
          <w:sz w:val="20"/>
          <w:szCs w:val="20"/>
        </w:rPr>
        <w:tab/>
        <w:t>55630</w:t>
      </w:r>
      <w:r>
        <w:rPr>
          <w:rFonts w:ascii="Calibri" w:eastAsia="Calibri" w:hAnsi="Calibri" w:cs="Calibri"/>
          <w:i/>
          <w:sz w:val="20"/>
          <w:szCs w:val="20"/>
        </w:rPr>
        <w:tab/>
        <w:t>Type 08</w:t>
      </w:r>
      <w:r>
        <w:rPr>
          <w:rFonts w:ascii="Calibri" w:eastAsia="Calibri" w:hAnsi="Calibri" w:cs="Calibri"/>
          <w:i/>
          <w:sz w:val="20"/>
          <w:szCs w:val="20"/>
        </w:rPr>
        <w:tab/>
        <w:t>Tuition to Non-Public/Private Schools</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after="60" w:line="240" w:lineRule="auto"/>
        <w:ind w:left="0" w:hanging="2"/>
        <w:rPr>
          <w:rFonts w:ascii="Calibri" w:eastAsia="Calibri" w:hAnsi="Calibri" w:cs="Calibri"/>
          <w:i/>
          <w:sz w:val="20"/>
          <w:szCs w:val="20"/>
        </w:rPr>
      </w:pPr>
      <w:r>
        <w:rPr>
          <w:rFonts w:ascii="Calibri" w:eastAsia="Calibri" w:hAnsi="Calibri" w:cs="Calibri"/>
          <w:i/>
          <w:sz w:val="20"/>
          <w:szCs w:val="20"/>
        </w:rPr>
        <w:tab/>
        <w:t>55640</w:t>
      </w:r>
      <w:r>
        <w:rPr>
          <w:rFonts w:ascii="Calibri" w:eastAsia="Calibri" w:hAnsi="Calibri" w:cs="Calibri"/>
          <w:i/>
          <w:sz w:val="20"/>
          <w:szCs w:val="20"/>
        </w:rPr>
        <w:tab/>
        <w:t xml:space="preserve">Type 118XX </w:t>
      </w:r>
      <w:r>
        <w:rPr>
          <w:rFonts w:ascii="Calibri" w:eastAsia="Calibri" w:hAnsi="Calibri" w:cs="Calibri"/>
          <w:i/>
          <w:sz w:val="20"/>
          <w:szCs w:val="20"/>
        </w:rPr>
        <w:tab/>
        <w:t>Tuition to Educational Service Agencies (Collaboratives) within the State</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after="60" w:line="240" w:lineRule="auto"/>
        <w:ind w:left="0" w:hanging="2"/>
        <w:rPr>
          <w:rFonts w:ascii="Calibri" w:eastAsia="Calibri" w:hAnsi="Calibri" w:cs="Calibri"/>
          <w:i/>
          <w:sz w:val="20"/>
          <w:szCs w:val="20"/>
        </w:rPr>
      </w:pPr>
      <w:r>
        <w:rPr>
          <w:rFonts w:ascii="Calibri" w:eastAsia="Calibri" w:hAnsi="Calibri" w:cs="Calibri"/>
          <w:i/>
          <w:sz w:val="20"/>
          <w:szCs w:val="20"/>
        </w:rPr>
        <w:tab/>
        <w:t>55650</w:t>
      </w:r>
      <w:r>
        <w:rPr>
          <w:rFonts w:ascii="Calibri" w:eastAsia="Calibri" w:hAnsi="Calibri" w:cs="Calibri"/>
          <w:i/>
          <w:sz w:val="20"/>
          <w:szCs w:val="20"/>
        </w:rPr>
        <w:tab/>
        <w:t>Type 119XX</w:t>
      </w:r>
      <w:r>
        <w:rPr>
          <w:rFonts w:ascii="Calibri" w:eastAsia="Calibri" w:hAnsi="Calibri" w:cs="Calibri"/>
          <w:i/>
          <w:sz w:val="20"/>
          <w:szCs w:val="20"/>
        </w:rPr>
        <w:tab/>
      </w:r>
      <w:r>
        <w:rPr>
          <w:rFonts w:ascii="Calibri" w:eastAsia="Calibri" w:hAnsi="Calibri" w:cs="Calibri"/>
          <w:i/>
          <w:sz w:val="20"/>
          <w:szCs w:val="20"/>
        </w:rPr>
        <w:t>Tuition to Educational Service Agencies (Collaboratives) outside the State</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after="60" w:line="240" w:lineRule="auto"/>
        <w:ind w:left="0" w:hanging="2"/>
        <w:rPr>
          <w:rFonts w:ascii="Calibri" w:eastAsia="Calibri" w:hAnsi="Calibri" w:cs="Calibri"/>
          <w:i/>
          <w:sz w:val="20"/>
          <w:szCs w:val="20"/>
        </w:rPr>
      </w:pPr>
      <w:r>
        <w:rPr>
          <w:rFonts w:ascii="Calibri" w:eastAsia="Calibri" w:hAnsi="Calibri" w:cs="Calibri"/>
          <w:i/>
          <w:sz w:val="20"/>
          <w:szCs w:val="20"/>
        </w:rPr>
        <w:tab/>
        <w:t>55660</w:t>
      </w:r>
      <w:r>
        <w:rPr>
          <w:rFonts w:ascii="Calibri" w:eastAsia="Calibri" w:hAnsi="Calibri" w:cs="Calibri"/>
          <w:i/>
          <w:sz w:val="20"/>
          <w:szCs w:val="20"/>
        </w:rPr>
        <w:tab/>
        <w:t>Type 10</w:t>
      </w:r>
      <w:r>
        <w:rPr>
          <w:rFonts w:ascii="Calibri" w:eastAsia="Calibri" w:hAnsi="Calibri" w:cs="Calibri"/>
          <w:i/>
          <w:sz w:val="20"/>
          <w:szCs w:val="20"/>
        </w:rPr>
        <w:tab/>
        <w:t>Tuition to Charter Schools</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440"/>
          <w:tab w:val="left" w:pos="1800"/>
          <w:tab w:val="left" w:pos="3150"/>
        </w:tabs>
        <w:spacing w:after="60" w:line="240" w:lineRule="auto"/>
        <w:ind w:left="0" w:hanging="2"/>
        <w:rPr>
          <w:rFonts w:ascii="Calibri" w:eastAsia="Calibri" w:hAnsi="Calibri" w:cs="Calibri"/>
          <w:i/>
          <w:sz w:val="20"/>
          <w:szCs w:val="20"/>
        </w:rPr>
      </w:pPr>
      <w:r>
        <w:rPr>
          <w:rFonts w:ascii="Calibri" w:eastAsia="Calibri" w:hAnsi="Calibri" w:cs="Calibri"/>
          <w:i/>
          <w:sz w:val="20"/>
          <w:szCs w:val="20"/>
        </w:rPr>
        <w:tab/>
        <w:t>55680</w:t>
      </w:r>
      <w:r>
        <w:rPr>
          <w:rFonts w:ascii="Calibri" w:eastAsia="Calibri" w:hAnsi="Calibri" w:cs="Calibri"/>
          <w:i/>
          <w:sz w:val="20"/>
          <w:szCs w:val="20"/>
        </w:rPr>
        <w:tab/>
        <w:t>Type 07</w:t>
      </w:r>
      <w:r>
        <w:rPr>
          <w:rFonts w:ascii="Calibri" w:eastAsia="Calibri" w:hAnsi="Calibri" w:cs="Calibri"/>
          <w:i/>
          <w:sz w:val="20"/>
          <w:szCs w:val="20"/>
        </w:rPr>
        <w:tab/>
        <w:t>Tuition to Other School Districts for Voucher Payments</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990"/>
          <w:tab w:val="left" w:pos="1800"/>
          <w:tab w:val="left" w:pos="3150"/>
        </w:tabs>
        <w:spacing w:line="240" w:lineRule="auto"/>
        <w:ind w:left="0" w:hanging="2"/>
        <w:rPr>
          <w:rFonts w:ascii="Calibri" w:eastAsia="Calibri" w:hAnsi="Calibri" w:cs="Calibri"/>
          <w:i/>
          <w:sz w:val="20"/>
          <w:szCs w:val="20"/>
        </w:rPr>
      </w:pPr>
      <w:r>
        <w:rPr>
          <w:rFonts w:ascii="Calibri" w:eastAsia="Calibri" w:hAnsi="Calibri" w:cs="Calibri"/>
          <w:i/>
          <w:sz w:val="20"/>
          <w:szCs w:val="20"/>
        </w:rPr>
        <w:tab/>
        <w:t>55690</w:t>
      </w:r>
      <w:r>
        <w:rPr>
          <w:rFonts w:ascii="Calibri" w:eastAsia="Calibri" w:hAnsi="Calibri" w:cs="Calibri"/>
          <w:i/>
          <w:sz w:val="20"/>
          <w:szCs w:val="20"/>
        </w:rPr>
        <w:tab/>
        <w:t>Types 07 - 11</w:t>
      </w:r>
      <w:r>
        <w:rPr>
          <w:rFonts w:ascii="Calibri" w:eastAsia="Calibri" w:hAnsi="Calibri" w:cs="Calibri"/>
          <w:i/>
          <w:sz w:val="20"/>
          <w:szCs w:val="20"/>
        </w:rPr>
        <w:tab/>
        <w:t xml:space="preserve">Tuition – Other </w:t>
      </w:r>
      <w:r>
        <w:rPr>
          <w:rFonts w:ascii="Calibri" w:eastAsia="Calibri" w:hAnsi="Calibri" w:cs="Calibri"/>
          <w:b/>
          <w:i/>
          <w:color w:val="000000"/>
          <w:sz w:val="20"/>
          <w:szCs w:val="20"/>
        </w:rPr>
        <w:t>(Presently, Object 55690 has no identified locations and should not be used unless authorized by RIDE)</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sz w:val="20"/>
          <w:szCs w:val="20"/>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hanging="2"/>
        <w:rPr>
          <w:rFonts w:ascii="Calibri" w:eastAsia="Calibri" w:hAnsi="Calibri" w:cs="Calibri"/>
          <w:i/>
          <w:color w:val="000000"/>
          <w:sz w:val="22"/>
          <w:szCs w:val="22"/>
        </w:rPr>
      </w:pPr>
      <w:r>
        <w:rPr>
          <w:rFonts w:ascii="Calibri" w:eastAsia="Calibri" w:hAnsi="Calibri" w:cs="Calibri"/>
          <w:b/>
          <w:i/>
          <w:color w:val="000000"/>
          <w:sz w:val="22"/>
          <w:szCs w:val="22"/>
        </w:rPr>
        <w:t xml:space="preserve">Fund:  </w:t>
      </w:r>
      <w:r>
        <w:rPr>
          <w:rFonts w:ascii="Calibri" w:eastAsia="Calibri" w:hAnsi="Calibri" w:cs="Calibri"/>
          <w:i/>
          <w:color w:val="000000"/>
          <w:sz w:val="22"/>
          <w:szCs w:val="22"/>
        </w:rPr>
        <w:t>The above tuition object codes may be used with any Fund Type except 40 and 90.</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hanging="2"/>
        <w:rPr>
          <w:rFonts w:ascii="Calibri" w:eastAsia="Calibri" w:hAnsi="Calibri" w:cs="Calibri"/>
          <w:b/>
          <w:i/>
          <w:color w:val="000000"/>
          <w:sz w:val="22"/>
          <w:szCs w:val="22"/>
        </w:rPr>
      </w:pPr>
      <w:r>
        <w:rPr>
          <w:rFonts w:ascii="Calibri" w:eastAsia="Calibri" w:hAnsi="Calibri" w:cs="Calibri"/>
          <w:b/>
          <w:i/>
          <w:color w:val="000000"/>
          <w:sz w:val="22"/>
          <w:szCs w:val="22"/>
        </w:rPr>
        <w:t>Function:</w:t>
      </w:r>
      <w:r>
        <w:rPr>
          <w:rFonts w:ascii="Calibri" w:eastAsia="Calibri" w:hAnsi="Calibri" w:cs="Calibri"/>
          <w:i/>
          <w:color w:val="000000"/>
          <w:sz w:val="22"/>
          <w:szCs w:val="22"/>
        </w:rPr>
        <w:t xml:space="preserve"> Use Function 431 only</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hanging="2"/>
        <w:rPr>
          <w:rFonts w:ascii="Calibri" w:eastAsia="Calibri" w:hAnsi="Calibri" w:cs="Calibri"/>
          <w:i/>
          <w:color w:val="000000"/>
          <w:sz w:val="22"/>
          <w:szCs w:val="22"/>
        </w:rPr>
      </w:pPr>
      <w:r>
        <w:rPr>
          <w:rFonts w:ascii="Calibri" w:eastAsia="Calibri" w:hAnsi="Calibri" w:cs="Calibri"/>
          <w:b/>
          <w:i/>
          <w:color w:val="000000"/>
          <w:sz w:val="22"/>
          <w:szCs w:val="22"/>
        </w:rPr>
        <w:t xml:space="preserve">Subject:  </w:t>
      </w:r>
      <w:r>
        <w:rPr>
          <w:rFonts w:ascii="Calibri" w:eastAsia="Calibri" w:hAnsi="Calibri" w:cs="Calibri"/>
          <w:i/>
          <w:color w:val="000000"/>
          <w:sz w:val="22"/>
          <w:szCs w:val="22"/>
        </w:rPr>
        <w:t>Use any Subject except 2701, 2702, 2703, 9700, 9800, and 9900.  Use Subject Series 2100 for Special Education.  Refer to the General Function/Subject Rules and the required Location Type/Subject Rules for guidance on determining the proper Subject account(</w:t>
      </w:r>
      <w:r>
        <w:rPr>
          <w:rFonts w:ascii="Calibri" w:eastAsia="Calibri" w:hAnsi="Calibri" w:cs="Calibri"/>
          <w:i/>
          <w:color w:val="000000"/>
          <w:sz w:val="22"/>
          <w:szCs w:val="22"/>
        </w:rPr>
        <w:t>s) to use with Function and Location accounts, respectively.</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hanging="2"/>
        <w:rPr>
          <w:rFonts w:ascii="Calibri" w:eastAsia="Calibri" w:hAnsi="Calibri" w:cs="Calibri"/>
          <w:i/>
          <w:color w:val="000000"/>
          <w:sz w:val="22"/>
          <w:szCs w:val="22"/>
        </w:rPr>
      </w:pPr>
      <w:r>
        <w:rPr>
          <w:rFonts w:ascii="Calibri" w:eastAsia="Calibri" w:hAnsi="Calibri" w:cs="Calibri"/>
          <w:b/>
          <w:i/>
          <w:color w:val="000000"/>
          <w:sz w:val="22"/>
          <w:szCs w:val="22"/>
        </w:rPr>
        <w:t>Job Classification:</w:t>
      </w:r>
      <w:r>
        <w:rPr>
          <w:rFonts w:ascii="Calibri" w:eastAsia="Calibri" w:hAnsi="Calibri" w:cs="Calibri"/>
          <w:i/>
          <w:color w:val="000000"/>
          <w:sz w:val="22"/>
          <w:szCs w:val="22"/>
        </w:rPr>
        <w:t xml:space="preserve"> Use Job Classification 0000 only</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hanging="2"/>
        <w:rPr>
          <w:rFonts w:ascii="Calibri" w:eastAsia="Calibri" w:hAnsi="Calibri" w:cs="Calibri"/>
          <w:i/>
          <w:color w:val="000000"/>
          <w:sz w:val="22"/>
          <w:szCs w:val="22"/>
        </w:rPr>
      </w:pPr>
      <w:r>
        <w:rPr>
          <w:rFonts w:ascii="Calibri" w:eastAsia="Calibri" w:hAnsi="Calibri" w:cs="Calibri"/>
          <w:b/>
          <w:i/>
          <w:color w:val="000000"/>
          <w:sz w:val="22"/>
          <w:szCs w:val="22"/>
        </w:rPr>
        <w:t xml:space="preserve">Program:  </w:t>
      </w:r>
      <w:r>
        <w:rPr>
          <w:rFonts w:ascii="Calibri" w:eastAsia="Calibri" w:hAnsi="Calibri" w:cs="Calibri"/>
          <w:i/>
          <w:color w:val="000000"/>
          <w:sz w:val="22"/>
          <w:szCs w:val="22"/>
        </w:rPr>
        <w:t>For Special Education Students:</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890"/>
        </w:tabs>
        <w:spacing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 xml:space="preserve"> </w:t>
      </w:r>
      <w:r>
        <w:rPr>
          <w:rFonts w:ascii="Calibri" w:eastAsia="Calibri" w:hAnsi="Calibri" w:cs="Calibri"/>
          <w:i/>
          <w:color w:val="000000"/>
          <w:sz w:val="22"/>
          <w:szCs w:val="22"/>
        </w:rPr>
        <w:tab/>
        <w:t xml:space="preserve">- Program 20  - for Students who are District-Placed (refer to UCOA Manual for the </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3240"/>
        </w:tabs>
        <w:spacing w:after="120"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ab/>
      </w:r>
      <w:r>
        <w:rPr>
          <w:rFonts w:ascii="Calibri" w:eastAsia="Calibri" w:hAnsi="Calibri" w:cs="Calibri"/>
          <w:i/>
          <w:color w:val="000000"/>
          <w:sz w:val="22"/>
          <w:szCs w:val="22"/>
        </w:rPr>
        <w:t>categories of services included in Special Education)</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890"/>
        </w:tabs>
        <w:spacing w:after="120"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shd w:val="clear" w:color="auto" w:fill="F2F2F2"/>
        </w:rPr>
        <w:tab/>
        <w:t xml:space="preserve">-  </w:t>
      </w:r>
      <w:r>
        <w:rPr>
          <w:rFonts w:ascii="Calibri" w:eastAsia="Calibri" w:hAnsi="Calibri" w:cs="Calibri"/>
          <w:i/>
          <w:color w:val="000000"/>
          <w:sz w:val="22"/>
          <w:szCs w:val="22"/>
        </w:rPr>
        <w:t>Program 50 - for Students who are Parentally-Placed in the alternative location</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890"/>
        </w:tabs>
        <w:spacing w:after="120"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For Non-Special Education Students:</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890"/>
        </w:tabs>
        <w:spacing w:after="120"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ab/>
        <w:t>- Program 10 Series - General Education</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890"/>
        </w:tabs>
        <w:spacing w:after="120"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ab/>
        <w:t>- Program 30 - Career &amp; Technical</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890"/>
        </w:tabs>
        <w:spacing w:after="120"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ab/>
      </w:r>
      <w:r>
        <w:rPr>
          <w:rFonts w:ascii="Calibri" w:eastAsia="Calibri" w:hAnsi="Calibri" w:cs="Calibri"/>
          <w:i/>
          <w:color w:val="000000"/>
          <w:sz w:val="22"/>
          <w:szCs w:val="22"/>
        </w:rPr>
        <w:t>- Program 40 - Bilingual/ESL</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890"/>
        </w:tabs>
        <w:spacing w:after="120"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ab/>
        <w:t>- Program 50 - Non-public schools</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hanging="2"/>
        <w:rPr>
          <w:rFonts w:ascii="Calibri" w:eastAsia="Calibri" w:hAnsi="Calibri" w:cs="Calibri"/>
          <w:b/>
          <w:i/>
          <w:color w:val="000000"/>
          <w:sz w:val="22"/>
          <w:szCs w:val="22"/>
        </w:rPr>
      </w:pPr>
      <w:r>
        <w:rPr>
          <w:rFonts w:ascii="Calibri" w:eastAsia="Calibri" w:hAnsi="Calibri" w:cs="Calibri"/>
          <w:b/>
          <w:i/>
          <w:color w:val="000000"/>
          <w:sz w:val="22"/>
          <w:szCs w:val="22"/>
        </w:rPr>
        <w:t xml:space="preserve">Program Segment Rules: </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hanging="2"/>
        <w:rPr>
          <w:rFonts w:ascii="Calibri" w:eastAsia="Calibri" w:hAnsi="Calibri" w:cs="Calibri"/>
          <w:i/>
          <w:color w:val="000000"/>
          <w:sz w:val="22"/>
          <w:szCs w:val="22"/>
        </w:rPr>
      </w:pPr>
      <w:r>
        <w:rPr>
          <w:rFonts w:ascii="Calibri" w:eastAsia="Calibri" w:hAnsi="Calibri" w:cs="Calibri"/>
          <w:b/>
          <w:color w:val="2F5496"/>
          <w:sz w:val="22"/>
          <w:szCs w:val="22"/>
        </w:rPr>
        <w:lastRenderedPageBreak/>
        <w:t xml:space="preserve">DEFINITION: </w:t>
      </w:r>
      <w:r>
        <w:rPr>
          <w:rFonts w:ascii="Calibri" w:eastAsia="Calibri" w:hAnsi="Calibri" w:cs="Calibri"/>
          <w:b/>
          <w:color w:val="2F5496"/>
          <w:sz w:val="22"/>
          <w:szCs w:val="22"/>
          <w:u w:val="single"/>
        </w:rPr>
        <w:t>Program 10</w:t>
      </w:r>
      <w:r>
        <w:rPr>
          <w:rFonts w:ascii="Calibri" w:eastAsia="Calibri" w:hAnsi="Calibri" w:cs="Calibri"/>
          <w:b/>
          <w:color w:val="2F5496"/>
          <w:sz w:val="22"/>
          <w:szCs w:val="22"/>
        </w:rPr>
        <w:t xml:space="preserve"> - Regular Elementary/Secondary Education Programs.</w:t>
      </w:r>
      <w:r>
        <w:rPr>
          <w:rFonts w:ascii="Calibri" w:eastAsia="Calibri" w:hAnsi="Calibri" w:cs="Calibri"/>
          <w:color w:val="2F5496"/>
          <w:sz w:val="22"/>
          <w:szCs w:val="22"/>
        </w:rPr>
        <w:t xml:space="preserve">  Program 10 (and subprograms 11-15) accounts include activities that provide students in pre-kindergarten through grade 12 with learning experiences to prepare them for further education or training and for responsibilities as citizens, family members, an</w:t>
      </w:r>
      <w:r>
        <w:rPr>
          <w:rFonts w:ascii="Calibri" w:eastAsia="Calibri" w:hAnsi="Calibri" w:cs="Calibri"/>
          <w:color w:val="2F5496"/>
          <w:sz w:val="22"/>
          <w:szCs w:val="22"/>
        </w:rPr>
        <w:t>d workers.</w:t>
      </w:r>
      <w:r>
        <w:rPr>
          <w:rFonts w:ascii="Calibri" w:eastAsia="Calibri" w:hAnsi="Calibri" w:cs="Calibri"/>
          <w:i/>
          <w:color w:val="2F5496"/>
          <w:sz w:val="22"/>
          <w:szCs w:val="22"/>
        </w:rPr>
        <w:t xml:space="preserve"> </w:t>
      </w:r>
      <w:r>
        <w:rPr>
          <w:rFonts w:ascii="Calibri" w:eastAsia="Calibri" w:hAnsi="Calibri" w:cs="Calibri"/>
          <w:i/>
          <w:color w:val="000000"/>
          <w:sz w:val="22"/>
          <w:szCs w:val="22"/>
        </w:rPr>
        <w:t xml:space="preserve"> </w:t>
      </w:r>
    </w:p>
    <w:p w:rsidR="00A22F56" w:rsidRDefault="00506037">
      <w:pPr>
        <w:numPr>
          <w:ilvl w:val="0"/>
          <w:numId w:val="36"/>
        </w:num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Program 10 series also include alternative education programs that focus on the educational needs of students at risk of failing or dropping out of school because of academic, behavioral, or situational factors.  It is also used for programs associated wit</w:t>
      </w:r>
      <w:r>
        <w:rPr>
          <w:rFonts w:ascii="Calibri" w:eastAsia="Calibri" w:hAnsi="Calibri" w:cs="Calibri"/>
          <w:i/>
          <w:color w:val="000000"/>
          <w:sz w:val="22"/>
          <w:szCs w:val="22"/>
        </w:rPr>
        <w:t xml:space="preserve">h gifted and talented students, and Performance Based Graduation requirements.  </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18"/>
          <w:szCs w:val="18"/>
        </w:rPr>
      </w:pPr>
    </w:p>
    <w:p w:rsidR="00A22F56" w:rsidRDefault="00506037">
      <w:pPr>
        <w:numPr>
          <w:ilvl w:val="0"/>
          <w:numId w:val="36"/>
        </w:num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Regular programs are distinguished from special education programs that focus on adapting curriculum or instruction to accommodate a specific disability and from career/techn</w:t>
      </w:r>
      <w:r>
        <w:rPr>
          <w:rFonts w:ascii="Calibri" w:eastAsia="Calibri" w:hAnsi="Calibri" w:cs="Calibri"/>
          <w:i/>
          <w:color w:val="000000"/>
          <w:sz w:val="22"/>
          <w:szCs w:val="22"/>
        </w:rPr>
        <w:t xml:space="preserve">ical programs that focus on career skills.  </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120" w:lineRule="auto"/>
        <w:ind w:left="0" w:hanging="2"/>
        <w:rPr>
          <w:rFonts w:ascii="Calibri" w:eastAsia="Calibri" w:hAnsi="Calibri" w:cs="Calibri"/>
          <w:b/>
          <w:color w:val="1F497D"/>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color w:val="2F5496"/>
          <w:sz w:val="22"/>
          <w:szCs w:val="22"/>
        </w:rPr>
      </w:pPr>
      <w:r>
        <w:rPr>
          <w:rFonts w:ascii="Calibri" w:eastAsia="Calibri" w:hAnsi="Calibri" w:cs="Calibri"/>
          <w:b/>
          <w:color w:val="2F5496"/>
          <w:sz w:val="22"/>
          <w:szCs w:val="22"/>
        </w:rPr>
        <w:t xml:space="preserve">DEFINITION: </w:t>
      </w:r>
      <w:r>
        <w:rPr>
          <w:rFonts w:ascii="Calibri" w:eastAsia="Calibri" w:hAnsi="Calibri" w:cs="Calibri"/>
          <w:b/>
          <w:color w:val="2F5496"/>
          <w:sz w:val="22"/>
          <w:szCs w:val="22"/>
          <w:u w:val="single"/>
        </w:rPr>
        <w:t>Program 30</w:t>
      </w:r>
      <w:r>
        <w:rPr>
          <w:rFonts w:ascii="Calibri" w:eastAsia="Calibri" w:hAnsi="Calibri" w:cs="Calibri"/>
          <w:b/>
          <w:color w:val="2F5496"/>
          <w:sz w:val="22"/>
          <w:szCs w:val="22"/>
        </w:rPr>
        <w:t xml:space="preserve"> - Career and Technical Education (CTE) Programs.</w:t>
      </w:r>
      <w:r>
        <w:rPr>
          <w:rFonts w:ascii="Calibri" w:eastAsia="Calibri" w:hAnsi="Calibri" w:cs="Calibri"/>
          <w:color w:val="2F5496"/>
          <w:sz w:val="22"/>
          <w:szCs w:val="22"/>
        </w:rPr>
        <w:t xml:space="preserve">   CTE programs include activities delivered through traditional comprehensive and career-technical high schools, recognized charter schools, or campus-based classrooms that prepare students to meet challenging academic standards as well as industry skill </w:t>
      </w:r>
      <w:r>
        <w:rPr>
          <w:rFonts w:ascii="Calibri" w:eastAsia="Calibri" w:hAnsi="Calibri" w:cs="Calibri"/>
          <w:color w:val="2F5496"/>
          <w:sz w:val="22"/>
          <w:szCs w:val="22"/>
        </w:rPr>
        <w:t>standards while preparing students for broad-based careers and further education beyond high school in certain career cluster areas (refer to the UCOA Manual for a listing and description of the 16 career cluster areas).</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color w:val="2F5496"/>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r>
        <w:rPr>
          <w:rFonts w:ascii="Calibri" w:eastAsia="Calibri" w:hAnsi="Calibri" w:cs="Calibri"/>
          <w:b/>
          <w:i/>
          <w:color w:val="000000"/>
          <w:sz w:val="22"/>
          <w:szCs w:val="22"/>
          <w:u w:val="single"/>
        </w:rPr>
        <w:t>Guidance on Using Program Accounts</w:t>
      </w:r>
      <w:r>
        <w:rPr>
          <w:rFonts w:ascii="Calibri" w:eastAsia="Calibri" w:hAnsi="Calibri" w:cs="Calibri"/>
          <w:i/>
          <w:color w:val="000000"/>
          <w:sz w:val="22"/>
          <w:szCs w:val="22"/>
        </w:rPr>
        <w:t xml:space="preserve"> - The facts should be analyzed to determine the proper Program Account to be used in this order:</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p>
    <w:p w:rsidR="00A22F56" w:rsidRDefault="00506037">
      <w:pPr>
        <w:numPr>
          <w:ilvl w:val="0"/>
          <w:numId w:val="34"/>
        </w:num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r>
        <w:rPr>
          <w:rFonts w:ascii="Calibri" w:eastAsia="Calibri" w:hAnsi="Calibri" w:cs="Calibri"/>
          <w:i/>
          <w:sz w:val="22"/>
          <w:szCs w:val="22"/>
        </w:rPr>
        <w:t>Determine if the “specialized” Program accounts are applicable – if the activities are best addressed by the use of Program accounts such as Special Educatio</w:t>
      </w:r>
      <w:r>
        <w:rPr>
          <w:rFonts w:ascii="Calibri" w:eastAsia="Calibri" w:hAnsi="Calibri" w:cs="Calibri"/>
          <w:i/>
          <w:sz w:val="22"/>
          <w:szCs w:val="22"/>
        </w:rPr>
        <w:t>n (Program 20), Career and Technical Education (Program 30), or Programs 40 or 50, they should be used.</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p>
    <w:p w:rsidR="00A22F56" w:rsidRDefault="00506037">
      <w:pPr>
        <w:numPr>
          <w:ilvl w:val="0"/>
          <w:numId w:val="34"/>
        </w:num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Where none of the specialized accounts apply and the facts indicate that direct or indirect activities are related to General Education, Program 10 (in</w:t>
      </w:r>
      <w:r>
        <w:rPr>
          <w:rFonts w:ascii="Calibri" w:eastAsia="Calibri" w:hAnsi="Calibri" w:cs="Calibri"/>
          <w:i/>
          <w:color w:val="000000"/>
          <w:sz w:val="22"/>
          <w:szCs w:val="22"/>
        </w:rPr>
        <w:t>cluding Program 11-15 as applicable) should be used.</w:t>
      </w:r>
    </w:p>
    <w:p w:rsidR="00A22F56" w:rsidRDefault="00A22F56">
      <w:pPr>
        <w:pBdr>
          <w:top w:val="single" w:sz="4" w:space="1" w:color="000000"/>
          <w:left w:val="single" w:sz="4" w:space="4" w:color="000000"/>
          <w:bottom w:val="single" w:sz="4" w:space="1" w:color="000000"/>
          <w:right w:val="single" w:sz="4" w:space="4" w:color="000000"/>
        </w:pBdr>
        <w:shd w:val="clear" w:color="auto" w:fill="F2F2F2"/>
        <w:spacing w:line="240" w:lineRule="auto"/>
        <w:ind w:left="0" w:hanging="2"/>
        <w:rPr>
          <w:rFonts w:ascii="Calibri" w:eastAsia="Calibri" w:hAnsi="Calibri" w:cs="Calibri"/>
          <w:i/>
          <w:color w:val="000000"/>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22"/>
          <w:szCs w:val="22"/>
        </w:rPr>
      </w:pPr>
      <w:r>
        <w:rPr>
          <w:rFonts w:ascii="Calibri" w:eastAsia="Calibri" w:hAnsi="Calibri" w:cs="Calibri"/>
          <w:i/>
          <w:color w:val="000000"/>
          <w:sz w:val="22"/>
          <w:szCs w:val="22"/>
        </w:rPr>
        <w:t>If a District or Charter School has a Career and Technical Education Center (CTC) that has been approved or provisionally approved by RIDE, it must use Program 30 for those Subjects included in the Appr</w:t>
      </w:r>
      <w:r>
        <w:rPr>
          <w:rFonts w:ascii="Calibri" w:eastAsia="Calibri" w:hAnsi="Calibri" w:cs="Calibri"/>
          <w:i/>
          <w:color w:val="000000"/>
          <w:sz w:val="22"/>
          <w:szCs w:val="22"/>
        </w:rPr>
        <w:t>oved (or Provisionally Approved) CTC.  In this case, the use of detail Subject accounts in the 1400 series is required.  If a District provides classes in the Subject 1400 series that are not included in the Approved (or Provisionally Approved) CTC, then P</w:t>
      </w:r>
      <w:r>
        <w:rPr>
          <w:rFonts w:ascii="Calibri" w:eastAsia="Calibri" w:hAnsi="Calibri" w:cs="Calibri"/>
          <w:i/>
          <w:color w:val="000000"/>
          <w:sz w:val="22"/>
          <w:szCs w:val="22"/>
        </w:rPr>
        <w:t xml:space="preserve">rogram 10 should be used instead of Program 30.  For those Districts or Charter Schools that do not have either an Approved or Provisionally Approved CTC, but have students who attend such classes in other Districts or Charter Schools, the specific ID for </w:t>
      </w:r>
      <w:r>
        <w:rPr>
          <w:rFonts w:ascii="Calibri" w:eastAsia="Calibri" w:hAnsi="Calibri" w:cs="Calibri"/>
          <w:i/>
          <w:color w:val="000000"/>
          <w:sz w:val="22"/>
          <w:szCs w:val="22"/>
        </w:rPr>
        <w:t xml:space="preserve">the Type 07 or Type 10 Locations with Program 30 and the specific Subject account in the 1400 series should be used.  To determine if a school has an Approved or Provisionally Approved CTC, please contact the CTC Director of the school, CTC staff at RIDE, </w:t>
      </w:r>
      <w:r>
        <w:rPr>
          <w:rFonts w:ascii="Calibri" w:eastAsia="Calibri" w:hAnsi="Calibri" w:cs="Calibri"/>
          <w:i/>
          <w:color w:val="000000"/>
          <w:sz w:val="22"/>
          <w:szCs w:val="22"/>
        </w:rPr>
        <w:t xml:space="preserve">or a listing may be obtained on RIDE’s website: </w:t>
      </w:r>
    </w:p>
    <w:p w:rsidR="00A22F56" w:rsidRDefault="00A22F56">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18"/>
          <w:szCs w:val="18"/>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20"/>
          <w:szCs w:val="20"/>
        </w:rPr>
      </w:pPr>
      <w:r>
        <w:rPr>
          <w:rFonts w:ascii="Calibri" w:eastAsia="Calibri" w:hAnsi="Calibri" w:cs="Calibri"/>
          <w:i/>
          <w:color w:val="000000"/>
          <w:sz w:val="20"/>
          <w:szCs w:val="20"/>
        </w:rPr>
        <w:t>As of January 1, 2020:</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sz w:val="20"/>
          <w:szCs w:val="20"/>
        </w:rPr>
      </w:pPr>
      <w:hyperlink r:id="rId11">
        <w:r>
          <w:rPr>
            <w:rFonts w:ascii="Calibri" w:eastAsia="Calibri" w:hAnsi="Calibri" w:cs="Calibri"/>
            <w:i/>
            <w:color w:val="0000FF"/>
            <w:sz w:val="20"/>
            <w:szCs w:val="20"/>
            <w:u w:val="single"/>
          </w:rPr>
          <w:t>https://www.ride.ri.gov/Portals/0/Up</w:t>
        </w:r>
        <w:r>
          <w:rPr>
            <w:rFonts w:ascii="Calibri" w:eastAsia="Calibri" w:hAnsi="Calibri" w:cs="Calibri"/>
            <w:i/>
            <w:color w:val="0000FF"/>
            <w:sz w:val="20"/>
            <w:szCs w:val="20"/>
            <w:u w:val="single"/>
          </w:rPr>
          <w:t>loads/Documents/Students-and-Families-Great-Schools/Educational-Programming/Career-and-Tech/Approved_CTE_Programs_AY_2019.2020_ptm_final.pdf?ver=2019-12-23-135322-443</w:t>
        </w:r>
      </w:hyperlink>
    </w:p>
    <w:p w:rsidR="00A22F56" w:rsidRDefault="00A22F56">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18"/>
          <w:szCs w:val="18"/>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20"/>
          <w:szCs w:val="20"/>
        </w:rPr>
      </w:pPr>
      <w:r>
        <w:rPr>
          <w:rFonts w:ascii="Calibri" w:eastAsia="Calibri" w:hAnsi="Calibri" w:cs="Calibri"/>
          <w:i/>
          <w:color w:val="000000"/>
          <w:sz w:val="20"/>
          <w:szCs w:val="20"/>
        </w:rPr>
        <w:t>As of July 1, 2019:</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20"/>
          <w:szCs w:val="20"/>
        </w:rPr>
      </w:pPr>
      <w:hyperlink r:id="rId12">
        <w:r>
          <w:rPr>
            <w:rFonts w:ascii="Calibri" w:eastAsia="Calibri" w:hAnsi="Calibri" w:cs="Calibri"/>
            <w:i/>
            <w:color w:val="0000FF"/>
            <w:sz w:val="20"/>
            <w:szCs w:val="20"/>
            <w:u w:val="single"/>
          </w:rPr>
          <w:t>https://www.ride.ri.gov/Portals/0/Uploads/Documents/Students-and-Families-Great-Schools/Educational-Programming/Career-and-Tech/Approved_CTE_Programs_AY_2019.20.pdf?ver=2019-07-23-143948-643</w:t>
        </w:r>
      </w:hyperlink>
    </w:p>
    <w:p w:rsidR="00A22F56" w:rsidRDefault="00A22F56">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20"/>
          <w:szCs w:val="20"/>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20"/>
          <w:szCs w:val="20"/>
        </w:rPr>
      </w:pPr>
      <w:r>
        <w:rPr>
          <w:rFonts w:ascii="Calibri" w:eastAsia="Calibri" w:hAnsi="Calibri" w:cs="Calibri"/>
          <w:i/>
          <w:color w:val="000000"/>
          <w:sz w:val="20"/>
          <w:szCs w:val="20"/>
        </w:rPr>
        <w:t>As of July 1, 2018:</w:t>
      </w:r>
    </w:p>
    <w:p w:rsidR="00A22F56" w:rsidRDefault="00506037">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20"/>
          <w:szCs w:val="20"/>
        </w:rPr>
      </w:pPr>
      <w:hyperlink r:id="rId13">
        <w:r>
          <w:rPr>
            <w:rFonts w:ascii="Calibri" w:eastAsia="Calibri" w:hAnsi="Calibri" w:cs="Calibri"/>
            <w:i/>
            <w:color w:val="0000FF"/>
            <w:sz w:val="20"/>
            <w:szCs w:val="20"/>
            <w:u w:val="single"/>
          </w:rPr>
          <w:t>https://www.ride.ri.gov/Portals/0/Uploads/Documents/Students-and-Families-Great-Schools</w:t>
        </w:r>
        <w:r>
          <w:rPr>
            <w:rFonts w:ascii="Calibri" w:eastAsia="Calibri" w:hAnsi="Calibri" w:cs="Calibri"/>
            <w:i/>
            <w:color w:val="0000FF"/>
            <w:sz w:val="20"/>
            <w:szCs w:val="20"/>
            <w:u w:val="single"/>
          </w:rPr>
          <w:t>/Educational-Programming/Career-and-Tech/2018-19ProgramApproval/Approved_CTE_Programs_AY_2017.2018_ptm.pdf</w:t>
        </w:r>
      </w:hyperlink>
    </w:p>
    <w:p w:rsidR="00A22F56" w:rsidRDefault="00A22F56">
      <w:pPr>
        <w:pBdr>
          <w:top w:val="single" w:sz="4" w:space="1" w:color="000000"/>
          <w:left w:val="single" w:sz="4" w:space="4" w:color="000000"/>
          <w:bottom w:val="single" w:sz="4" w:space="1" w:color="000000"/>
          <w:right w:val="single" w:sz="4" w:space="4" w:color="000000"/>
        </w:pBdr>
        <w:shd w:val="clear" w:color="auto" w:fill="F2F2F2"/>
        <w:tabs>
          <w:tab w:val="left" w:pos="1260"/>
        </w:tabs>
        <w:spacing w:line="240" w:lineRule="auto"/>
        <w:ind w:left="0" w:hanging="2"/>
        <w:rPr>
          <w:rFonts w:ascii="Calibri" w:eastAsia="Calibri" w:hAnsi="Calibri" w:cs="Calibri"/>
          <w:i/>
          <w:color w:val="000000"/>
          <w:sz w:val="18"/>
          <w:szCs w:val="18"/>
        </w:rPr>
      </w:pP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23"/>
        </w:numPr>
        <w:spacing w:line="240" w:lineRule="auto"/>
        <w:ind w:left="0" w:hanging="2"/>
        <w:rPr>
          <w:rFonts w:ascii="Calibri" w:eastAsia="Calibri" w:hAnsi="Calibri" w:cs="Calibri"/>
          <w:b/>
          <w:sz w:val="22"/>
          <w:szCs w:val="22"/>
        </w:rPr>
      </w:pPr>
      <w:r>
        <w:rPr>
          <w:rFonts w:ascii="Calibri" w:eastAsia="Calibri" w:hAnsi="Calibri" w:cs="Calibri"/>
          <w:b/>
          <w:sz w:val="22"/>
          <w:szCs w:val="22"/>
        </w:rPr>
        <w:t>Payroll costs are subject to various UCOA coding requirements.  Determine if the entity’s procedures for payroll related costs support the followin</w:t>
      </w:r>
      <w:r>
        <w:rPr>
          <w:rFonts w:ascii="Calibri" w:eastAsia="Calibri" w:hAnsi="Calibri" w:cs="Calibri"/>
          <w:b/>
          <w:sz w:val="22"/>
          <w:szCs w:val="22"/>
        </w:rPr>
        <w:t>g UCOA requirements:</w:t>
      </w: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28"/>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lastRenderedPageBreak/>
        <w:t>Benefit costs are to be charged in the same manner as are the directly-related compensation accounts – i.e., to the same Fund/Subfund, Location, Function, Program, Subject, and Job Classification and in the same proportion when alloca</w:t>
      </w:r>
      <w:r>
        <w:rPr>
          <w:rFonts w:ascii="Calibri" w:eastAsia="Calibri" w:hAnsi="Calibri" w:cs="Calibri"/>
          <w:b/>
          <w:sz w:val="22"/>
          <w:szCs w:val="22"/>
        </w:rPr>
        <w:t>ted to more than one Fund/Subfund.  Alternatively, the Allocation Holding Accounts, Location 99999 and Subject 9900 may be used where allowed by the applicable Object Intersection Rule for the Benefit Object selected.  Healthcare benefit costs are to be al</w:t>
      </w:r>
      <w:r>
        <w:rPr>
          <w:rFonts w:ascii="Calibri" w:eastAsia="Calibri" w:hAnsi="Calibri" w:cs="Calibri"/>
          <w:b/>
          <w:sz w:val="22"/>
          <w:szCs w:val="22"/>
        </w:rPr>
        <w:t xml:space="preserve">located consistent with the employees’ wages based on actual insurance premiums or, in the case of employers who are self-insured, based on working rates.  </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28"/>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The entity has made a determination as to whether any employee meets the conditions that would require allocation of salary and benefits to more than one Fund/Subfund, Location, Function, Program or Subject and has supporting documentation for that determi</w:t>
      </w:r>
      <w:r>
        <w:rPr>
          <w:rFonts w:ascii="Calibri" w:eastAsia="Calibri" w:hAnsi="Calibri" w:cs="Calibri"/>
          <w:b/>
          <w:sz w:val="22"/>
          <w:szCs w:val="22"/>
        </w:rPr>
        <w:t>nation, (e.g., department heads, nurses who also teach, etc.)</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28"/>
        </w:numPr>
        <w:spacing w:line="240" w:lineRule="auto"/>
        <w:ind w:left="0" w:hanging="2"/>
        <w:jc w:val="both"/>
        <w:rPr>
          <w:rFonts w:ascii="Calibri" w:eastAsia="Calibri" w:hAnsi="Calibri" w:cs="Calibri"/>
          <w:sz w:val="22"/>
          <w:szCs w:val="22"/>
        </w:rPr>
      </w:pPr>
      <w:r>
        <w:rPr>
          <w:rFonts w:ascii="Calibri" w:eastAsia="Calibri" w:hAnsi="Calibri" w:cs="Calibri"/>
          <w:b/>
          <w:sz w:val="22"/>
          <w:szCs w:val="22"/>
        </w:rPr>
        <w:t xml:space="preserve">Wages and related benefits for </w:t>
      </w:r>
      <w:r>
        <w:rPr>
          <w:rFonts w:ascii="Calibri" w:eastAsia="Calibri" w:hAnsi="Calibri" w:cs="Calibri"/>
          <w:b/>
          <w:sz w:val="22"/>
          <w:szCs w:val="22"/>
          <w:u w:val="single"/>
        </w:rPr>
        <w:t>Short-term Substitute Teachers</w:t>
      </w:r>
      <w:r>
        <w:rPr>
          <w:rFonts w:ascii="Calibri" w:eastAsia="Calibri" w:hAnsi="Calibri" w:cs="Calibri"/>
          <w:b/>
          <w:sz w:val="22"/>
          <w:szCs w:val="22"/>
        </w:rPr>
        <w:t xml:space="preserve"> (Job Classifications 1295-1299) are charged only to Subject 0000 when used in conjunction with Function 112 (Substitutes).  For tho</w:t>
      </w:r>
      <w:r>
        <w:rPr>
          <w:rFonts w:ascii="Calibri" w:eastAsia="Calibri" w:hAnsi="Calibri" w:cs="Calibri"/>
          <w:b/>
          <w:sz w:val="22"/>
          <w:szCs w:val="22"/>
        </w:rPr>
        <w:t>se same Job Classification accounts when used with Function 221 (Curriculum Development) and Function 222 (In-Services, Staff Development and Support), wages and related benefits are to be charged to the appropriate accounts for Fund/Subfund, Location, Pro</w:t>
      </w:r>
      <w:r>
        <w:rPr>
          <w:rFonts w:ascii="Calibri" w:eastAsia="Calibri" w:hAnsi="Calibri" w:cs="Calibri"/>
          <w:b/>
          <w:sz w:val="22"/>
          <w:szCs w:val="22"/>
        </w:rPr>
        <w:t>gram, and Subject which were used for the class for which the Substitute Teacher has been engaged to replace.  For the Subject segment for example, use Subject 1500 for Middle or High School Math, 0011 for Elementary School Math, and 0200 for Art for all S</w:t>
      </w:r>
      <w:r>
        <w:rPr>
          <w:rFonts w:ascii="Calibri" w:eastAsia="Calibri" w:hAnsi="Calibri" w:cs="Calibri"/>
          <w:b/>
          <w:sz w:val="22"/>
          <w:szCs w:val="22"/>
        </w:rPr>
        <w:t>chool types.</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28"/>
        </w:numPr>
        <w:spacing w:line="240" w:lineRule="auto"/>
        <w:ind w:left="0" w:hanging="2"/>
        <w:jc w:val="both"/>
        <w:rPr>
          <w:rFonts w:ascii="Calibri" w:eastAsia="Calibri" w:hAnsi="Calibri" w:cs="Calibri"/>
          <w:sz w:val="22"/>
          <w:szCs w:val="22"/>
        </w:rPr>
      </w:pPr>
      <w:r>
        <w:rPr>
          <w:rFonts w:ascii="Calibri" w:eastAsia="Calibri" w:hAnsi="Calibri" w:cs="Calibri"/>
          <w:b/>
          <w:sz w:val="22"/>
          <w:szCs w:val="22"/>
          <w:u w:val="single"/>
        </w:rPr>
        <w:t>Long-term Substitute Teachers</w:t>
      </w:r>
      <w:r>
        <w:rPr>
          <w:rFonts w:ascii="Calibri" w:eastAsia="Calibri" w:hAnsi="Calibri" w:cs="Calibri"/>
          <w:b/>
          <w:sz w:val="22"/>
          <w:szCs w:val="22"/>
        </w:rPr>
        <w:t xml:space="preserve"> (Job Classification 1294) are to be charged to the appropriate accounts for Fund/Subfund, Location, Program, and Subject which were used for the class for which the Substitute Teacher has been engaged to replace.</w:t>
      </w:r>
      <w:r>
        <w:rPr>
          <w:rFonts w:ascii="Calibri" w:eastAsia="Calibri" w:hAnsi="Calibri" w:cs="Calibri"/>
          <w:b/>
          <w:sz w:val="22"/>
          <w:szCs w:val="22"/>
        </w:rPr>
        <w:t xml:space="preserve">  </w:t>
      </w: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28"/>
        </w:numPr>
        <w:spacing w:line="240" w:lineRule="auto"/>
        <w:ind w:left="0" w:hanging="2"/>
        <w:jc w:val="both"/>
        <w:rPr>
          <w:rFonts w:ascii="Calibri" w:eastAsia="Calibri" w:hAnsi="Calibri" w:cs="Calibri"/>
          <w:sz w:val="22"/>
          <w:szCs w:val="22"/>
        </w:rPr>
      </w:pPr>
      <w:r>
        <w:rPr>
          <w:rFonts w:ascii="Calibri" w:eastAsia="Calibri" w:hAnsi="Calibri" w:cs="Calibri"/>
          <w:b/>
          <w:sz w:val="22"/>
          <w:szCs w:val="22"/>
        </w:rPr>
        <w:t xml:space="preserve">Wages and benefits for </w:t>
      </w:r>
      <w:r>
        <w:rPr>
          <w:rFonts w:ascii="Calibri" w:eastAsia="Calibri" w:hAnsi="Calibri" w:cs="Calibri"/>
          <w:b/>
          <w:sz w:val="22"/>
          <w:szCs w:val="22"/>
          <w:u w:val="single"/>
        </w:rPr>
        <w:t>short-term substitute teacher support</w:t>
      </w:r>
      <w:r>
        <w:rPr>
          <w:rFonts w:ascii="Calibri" w:eastAsia="Calibri" w:hAnsi="Calibri" w:cs="Calibri"/>
          <w:b/>
          <w:sz w:val="22"/>
          <w:szCs w:val="22"/>
        </w:rPr>
        <w:t xml:space="preserve"> personnel are to be charged to the appropriate accounts for Fund/Subfund, Location, Program, and Subject which are applicable to the activity to which they are assigned.  </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28"/>
        </w:numPr>
        <w:spacing w:line="240" w:lineRule="auto"/>
        <w:ind w:left="0" w:hanging="2"/>
        <w:jc w:val="both"/>
        <w:rPr>
          <w:rFonts w:ascii="Calibri" w:eastAsia="Calibri" w:hAnsi="Calibri" w:cs="Calibri"/>
          <w:sz w:val="22"/>
          <w:szCs w:val="22"/>
        </w:rPr>
      </w:pPr>
      <w:r>
        <w:rPr>
          <w:rFonts w:ascii="Calibri" w:eastAsia="Calibri" w:hAnsi="Calibri" w:cs="Calibri"/>
          <w:b/>
          <w:sz w:val="22"/>
          <w:szCs w:val="22"/>
        </w:rPr>
        <w:t xml:space="preserve">Wages and related </w:t>
      </w:r>
      <w:r>
        <w:rPr>
          <w:rFonts w:ascii="Calibri" w:eastAsia="Calibri" w:hAnsi="Calibri" w:cs="Calibri"/>
          <w:b/>
          <w:sz w:val="22"/>
          <w:szCs w:val="22"/>
        </w:rPr>
        <w:t>benefits for pre-school teachers are charged to the appropriate 09xxx location code.</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Determine whether the entity’s payroll system directly interfaces with the entity’s general ledger accounting system and whether it is designed to post directly to the ap</w:t>
      </w:r>
      <w:r>
        <w:rPr>
          <w:rFonts w:ascii="Calibri" w:eastAsia="Calibri" w:hAnsi="Calibri" w:cs="Calibri"/>
          <w:sz w:val="22"/>
          <w:szCs w:val="22"/>
        </w:rPr>
        <w:t xml:space="preserve">propriate UCOA account or if there are a significant amount of manual adjustments and journal entries to allocate payroll related cost to the appropriate UCOA account.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Determine if the entity has reasonable and sufficient procedures in place to meet the payroll and related benefit coding requirements of UCOA.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Determine if pre-school is offered by the entity.</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Review one payroll period posting to assess compliance with</w:t>
      </w:r>
      <w:r>
        <w:rPr>
          <w:rFonts w:ascii="Calibri" w:eastAsia="Calibri" w:hAnsi="Calibri" w:cs="Calibri"/>
          <w:sz w:val="22"/>
          <w:szCs w:val="22"/>
        </w:rPr>
        <w:t xml:space="preserve"> UCOA payroll allocation requirements and appropriate location code for pre-school teachers (this may be satisfied through payroll transactions tested in the sample of transactions tested for compliance in compliance testing requirement No. 1).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If the </w:t>
      </w:r>
      <w:r>
        <w:rPr>
          <w:rFonts w:ascii="Calibri" w:eastAsia="Calibri" w:hAnsi="Calibri" w:cs="Calibri"/>
          <w:sz w:val="22"/>
          <w:szCs w:val="22"/>
        </w:rPr>
        <w:t>entity is using the intra-fund UCOA Allocation Tool, allocations are performed within the UCOA database and therefore testing is not required for benefit allocations made within that Fund/Subfund.</w:t>
      </w: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rPr>
          <w:rFonts w:ascii="Calibri" w:eastAsia="Calibri" w:hAnsi="Calibri" w:cs="Calibri"/>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jc w:val="center"/>
        <w:rPr>
          <w:rFonts w:ascii="Calibri" w:eastAsia="Calibri" w:hAnsi="Calibri" w:cs="Calibri"/>
          <w:i/>
          <w:color w:val="000000"/>
          <w:sz w:val="22"/>
          <w:szCs w:val="22"/>
          <w:u w:val="single"/>
        </w:rPr>
      </w:pPr>
      <w:r>
        <w:rPr>
          <w:rFonts w:ascii="Calibri" w:eastAsia="Calibri" w:hAnsi="Calibri" w:cs="Calibri"/>
          <w:b/>
          <w:color w:val="000000"/>
          <w:sz w:val="22"/>
          <w:szCs w:val="22"/>
          <w:u w:val="single"/>
        </w:rPr>
        <w:t>UCOA Rules to be Tested</w:t>
      </w:r>
      <w:r>
        <w:rPr>
          <w:rFonts w:ascii="Calibri" w:eastAsia="Calibri" w:hAnsi="Calibri" w:cs="Calibri"/>
          <w:i/>
          <w:color w:val="000000"/>
          <w:sz w:val="22"/>
          <w:szCs w:val="22"/>
          <w:u w:val="single"/>
        </w:rPr>
        <w:t>:</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color w:val="000000"/>
          <w:sz w:val="22"/>
          <w:szCs w:val="22"/>
        </w:rPr>
      </w:pPr>
      <w:r>
        <w:rPr>
          <w:rFonts w:ascii="Calibri" w:eastAsia="Calibri" w:hAnsi="Calibri" w:cs="Calibri"/>
          <w:i/>
          <w:color w:val="000000"/>
          <w:sz w:val="22"/>
          <w:szCs w:val="22"/>
        </w:rPr>
        <w:t xml:space="preserve">In all cases, compensation costs and related benefit costs for each employee must be accounted for in the same Fund/Subfund – they may </w:t>
      </w:r>
      <w:r>
        <w:rPr>
          <w:rFonts w:ascii="Calibri" w:eastAsia="Calibri" w:hAnsi="Calibri" w:cs="Calibri"/>
          <w:i/>
          <w:color w:val="000000"/>
          <w:sz w:val="22"/>
          <w:szCs w:val="22"/>
          <w:u w:val="single"/>
        </w:rPr>
        <w:t>not</w:t>
      </w:r>
      <w:r>
        <w:rPr>
          <w:rFonts w:ascii="Calibri" w:eastAsia="Calibri" w:hAnsi="Calibri" w:cs="Calibri"/>
          <w:i/>
          <w:color w:val="000000"/>
          <w:sz w:val="22"/>
          <w:szCs w:val="22"/>
        </w:rPr>
        <w:t xml:space="preserve"> cross Funds.  Districts may NOT account for the compensation in one </w:t>
      </w:r>
      <w:r>
        <w:rPr>
          <w:rFonts w:ascii="Calibri" w:eastAsia="Calibri" w:hAnsi="Calibri" w:cs="Calibri"/>
          <w:i/>
          <w:color w:val="000000"/>
          <w:sz w:val="22"/>
          <w:szCs w:val="22"/>
        </w:rPr>
        <w:lastRenderedPageBreak/>
        <w:t>Fund/Subfund and the benefits in another.  For ex</w:t>
      </w:r>
      <w:r>
        <w:rPr>
          <w:rFonts w:ascii="Calibri" w:eastAsia="Calibri" w:hAnsi="Calibri" w:cs="Calibri"/>
          <w:i/>
          <w:color w:val="000000"/>
          <w:sz w:val="22"/>
          <w:szCs w:val="22"/>
        </w:rPr>
        <w:t>ample, if 50% of an individual’s salary is charged to the General Fund and 50% to a Special Revenue Fund, then the allocations of Benefits MUST follow the exact same percentages.  When related to a particular grant, if the grant is insufficient to cover al</w:t>
      </w:r>
      <w:r>
        <w:rPr>
          <w:rFonts w:ascii="Calibri" w:eastAsia="Calibri" w:hAnsi="Calibri" w:cs="Calibri"/>
          <w:i/>
          <w:color w:val="000000"/>
          <w:sz w:val="22"/>
          <w:szCs w:val="22"/>
        </w:rPr>
        <w:t>l the costs, the same prorated amount for each category (compensation and benefits) shall be used up to the limit of the grant.</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color w:val="000000"/>
          <w:sz w:val="22"/>
          <w:szCs w:val="22"/>
        </w:rPr>
      </w:pPr>
      <w:r>
        <w:rPr>
          <w:rFonts w:ascii="Calibri" w:eastAsia="Calibri" w:hAnsi="Calibri" w:cs="Calibri"/>
          <w:i/>
          <w:color w:val="000000"/>
          <w:sz w:val="22"/>
          <w:szCs w:val="22"/>
        </w:rPr>
        <w:t>Charges to the Location segment for Salary and Benefits for employees that perform multiple functions are to be recorded using t</w:t>
      </w:r>
      <w:r>
        <w:rPr>
          <w:rFonts w:ascii="Calibri" w:eastAsia="Calibri" w:hAnsi="Calibri" w:cs="Calibri"/>
          <w:i/>
          <w:color w:val="000000"/>
          <w:sz w:val="22"/>
          <w:szCs w:val="22"/>
        </w:rPr>
        <w:t>he following guidelines:  For employees who perform their job requirements at multiple locations and performance of those duties requires a minimum of 20% of their time to any given Location those costs must be charged to the applicable Location accounts a</w:t>
      </w:r>
      <w:r>
        <w:rPr>
          <w:rFonts w:ascii="Calibri" w:eastAsia="Calibri" w:hAnsi="Calibri" w:cs="Calibri"/>
          <w:i/>
          <w:color w:val="000000"/>
          <w:sz w:val="22"/>
          <w:szCs w:val="22"/>
        </w:rPr>
        <w:t>ccordingly.  If however, the performance of duties at any given Location is less than 20% of their time, charges to those locations are not required, but are permissible.</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color w:val="000000"/>
          <w:sz w:val="22"/>
          <w:szCs w:val="22"/>
        </w:rPr>
      </w:pPr>
      <w:r>
        <w:rPr>
          <w:rFonts w:ascii="Calibri" w:eastAsia="Calibri" w:hAnsi="Calibri" w:cs="Calibri"/>
          <w:i/>
          <w:color w:val="000000"/>
          <w:sz w:val="22"/>
          <w:szCs w:val="22"/>
        </w:rPr>
        <w:t>Charges to the Function segment for Salary and Benefits for employees that perform mu</w:t>
      </w:r>
      <w:r>
        <w:rPr>
          <w:rFonts w:ascii="Calibri" w:eastAsia="Calibri" w:hAnsi="Calibri" w:cs="Calibri"/>
          <w:i/>
          <w:color w:val="000000"/>
          <w:sz w:val="22"/>
          <w:szCs w:val="22"/>
        </w:rPr>
        <w:t>ltiple functions are to be recorded using the following guidelines:  If an employee has a “Hands-On” relationship to multiple activities being performed and performance of those duties requires a minimum of 20% of their time to any given activity (Function</w:t>
      </w:r>
      <w:r>
        <w:rPr>
          <w:rFonts w:ascii="Calibri" w:eastAsia="Calibri" w:hAnsi="Calibri" w:cs="Calibri"/>
          <w:i/>
          <w:color w:val="000000"/>
          <w:sz w:val="22"/>
          <w:szCs w:val="22"/>
        </w:rPr>
        <w:t>), those costs must be charged to the appropriate Function accounts accordingly.  If however, the role is more of an oversight role of supervising or managing others who perform the “Hands-On” work, is less than 20% of their time, charges to those Function</w:t>
      </w:r>
      <w:r>
        <w:rPr>
          <w:rFonts w:ascii="Calibri" w:eastAsia="Calibri" w:hAnsi="Calibri" w:cs="Calibri"/>
          <w:i/>
          <w:color w:val="000000"/>
          <w:sz w:val="22"/>
          <w:szCs w:val="22"/>
        </w:rPr>
        <w:t>s are not required, but are permissible.</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color w:val="000000"/>
          <w:sz w:val="22"/>
          <w:szCs w:val="22"/>
        </w:rPr>
      </w:pPr>
      <w:r>
        <w:rPr>
          <w:rFonts w:ascii="Calibri" w:eastAsia="Calibri" w:hAnsi="Calibri" w:cs="Calibri"/>
          <w:i/>
          <w:color w:val="000000"/>
          <w:sz w:val="22"/>
          <w:szCs w:val="22"/>
        </w:rPr>
        <w:t xml:space="preserve">For Department Heads, House Leaders, and System-wide Supervisors, that portion of regular salary for </w:t>
      </w:r>
      <w:r>
        <w:rPr>
          <w:rFonts w:ascii="Calibri" w:eastAsia="Calibri" w:hAnsi="Calibri" w:cs="Calibri"/>
          <w:i/>
          <w:color w:val="000000"/>
          <w:sz w:val="22"/>
          <w:szCs w:val="22"/>
          <w:u w:val="single"/>
        </w:rPr>
        <w:t>teaching periods</w:t>
      </w:r>
      <w:r>
        <w:rPr>
          <w:rFonts w:ascii="Calibri" w:eastAsia="Calibri" w:hAnsi="Calibri" w:cs="Calibri"/>
          <w:i/>
          <w:color w:val="000000"/>
          <w:sz w:val="22"/>
          <w:szCs w:val="22"/>
        </w:rPr>
        <w:t xml:space="preserve"> is charged to object 51110 (Regular Salaries); for </w:t>
      </w:r>
      <w:r>
        <w:rPr>
          <w:rFonts w:ascii="Calibri" w:eastAsia="Calibri" w:hAnsi="Calibri" w:cs="Calibri"/>
          <w:i/>
          <w:color w:val="000000"/>
          <w:sz w:val="22"/>
          <w:szCs w:val="22"/>
          <w:u w:val="single"/>
        </w:rPr>
        <w:t>non-teaching periods</w:t>
      </w:r>
      <w:r>
        <w:rPr>
          <w:rFonts w:ascii="Calibri" w:eastAsia="Calibri" w:hAnsi="Calibri" w:cs="Calibri"/>
          <w:i/>
          <w:color w:val="000000"/>
          <w:sz w:val="22"/>
          <w:szCs w:val="22"/>
        </w:rPr>
        <w:t>, that prorated portion is</w:t>
      </w:r>
      <w:r>
        <w:rPr>
          <w:rFonts w:ascii="Calibri" w:eastAsia="Calibri" w:hAnsi="Calibri" w:cs="Calibri"/>
          <w:i/>
          <w:color w:val="000000"/>
          <w:sz w:val="22"/>
          <w:szCs w:val="22"/>
        </w:rPr>
        <w:t xml:space="preserve"> charged to Object 51132 (Department Heads, House Leaders, and System-wide Supervisors).  Stipends for these positions are to be charged to Object 51401 (Stipend – Other).</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color w:val="000000"/>
          <w:sz w:val="22"/>
          <w:szCs w:val="22"/>
        </w:rPr>
      </w:pPr>
      <w:r>
        <w:rPr>
          <w:rFonts w:ascii="Calibri" w:eastAsia="Calibri" w:hAnsi="Calibri" w:cs="Calibri"/>
          <w:i/>
          <w:color w:val="000000"/>
          <w:sz w:val="22"/>
          <w:szCs w:val="22"/>
        </w:rPr>
        <w:t>For Nurse Teachers, even if face-to-face teaching occurs, charge to Function 216 (St</w:t>
      </w:r>
      <w:r>
        <w:rPr>
          <w:rFonts w:ascii="Calibri" w:eastAsia="Calibri" w:hAnsi="Calibri" w:cs="Calibri"/>
          <w:i/>
          <w:color w:val="000000"/>
          <w:sz w:val="22"/>
          <w:szCs w:val="22"/>
        </w:rPr>
        <w:t xml:space="preserve">udent Health Services – Medical), not Function 111 (Instructional Teachers). </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color w:val="000000"/>
          <w:sz w:val="22"/>
          <w:szCs w:val="22"/>
        </w:rPr>
      </w:pPr>
      <w:r>
        <w:rPr>
          <w:rFonts w:ascii="Calibri" w:eastAsia="Calibri" w:hAnsi="Calibri" w:cs="Calibri"/>
          <w:i/>
          <w:color w:val="000000"/>
          <w:sz w:val="22"/>
          <w:szCs w:val="22"/>
        </w:rPr>
        <w:t xml:space="preserve">Nurses and other non-standard instructors included in Function 216 (Student Health Services – Medical) who teach classes representing </w:t>
      </w:r>
      <w:r>
        <w:rPr>
          <w:rFonts w:ascii="Calibri" w:eastAsia="Calibri" w:hAnsi="Calibri" w:cs="Calibri"/>
          <w:b/>
          <w:i/>
          <w:color w:val="000000"/>
          <w:sz w:val="22"/>
          <w:szCs w:val="22"/>
        </w:rPr>
        <w:t>less</w:t>
      </w:r>
      <w:r>
        <w:rPr>
          <w:rFonts w:ascii="Calibri" w:eastAsia="Calibri" w:hAnsi="Calibri" w:cs="Calibri"/>
          <w:i/>
          <w:color w:val="000000"/>
          <w:sz w:val="22"/>
          <w:szCs w:val="22"/>
        </w:rPr>
        <w:t xml:space="preserve"> than 10% of their time must code instru</w:t>
      </w:r>
      <w:r>
        <w:rPr>
          <w:rFonts w:ascii="Calibri" w:eastAsia="Calibri" w:hAnsi="Calibri" w:cs="Calibri"/>
          <w:i/>
          <w:color w:val="000000"/>
          <w:sz w:val="22"/>
          <w:szCs w:val="22"/>
        </w:rPr>
        <w:t xml:space="preserve">ction time to Subject 2500 (Non-Instruction) unless the application of the rule would violate a rule or rules of a higher authority – refer to the Account Level Use Rules and Requirements for the precedence order of UCOA Rules.  Those that teach </w:t>
      </w:r>
      <w:r>
        <w:rPr>
          <w:rFonts w:ascii="Calibri" w:eastAsia="Calibri" w:hAnsi="Calibri" w:cs="Calibri"/>
          <w:b/>
          <w:i/>
          <w:color w:val="000000"/>
          <w:sz w:val="22"/>
          <w:szCs w:val="22"/>
        </w:rPr>
        <w:t>more</w:t>
      </w:r>
      <w:r>
        <w:rPr>
          <w:rFonts w:ascii="Calibri" w:eastAsia="Calibri" w:hAnsi="Calibri" w:cs="Calibri"/>
          <w:i/>
          <w:color w:val="000000"/>
          <w:sz w:val="22"/>
          <w:szCs w:val="22"/>
        </w:rPr>
        <w:t xml:space="preserve"> than </w:t>
      </w:r>
      <w:r>
        <w:rPr>
          <w:rFonts w:ascii="Calibri" w:eastAsia="Calibri" w:hAnsi="Calibri" w:cs="Calibri"/>
          <w:i/>
          <w:color w:val="000000"/>
          <w:sz w:val="22"/>
          <w:szCs w:val="22"/>
        </w:rPr>
        <w:t>10% of their time must record instruction time to Subject 0000 (General Education).</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i/>
          <w:sz w:val="22"/>
          <w:szCs w:val="22"/>
        </w:rPr>
      </w:pPr>
      <w:r>
        <w:rPr>
          <w:rFonts w:ascii="Calibri" w:eastAsia="Calibri" w:hAnsi="Calibri" w:cs="Calibri"/>
          <w:i/>
          <w:sz w:val="22"/>
          <w:szCs w:val="22"/>
        </w:rPr>
        <w:t>For Short-Term Substitute Teachers (Job Classifications 1295-1299) with Function 112, use only Subject 0000 for all compensation and directly-related benefit accounts.</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i/>
          <w:sz w:val="22"/>
          <w:szCs w:val="22"/>
        </w:rPr>
      </w:pPr>
      <w:r>
        <w:rPr>
          <w:rFonts w:ascii="Calibri" w:eastAsia="Calibri" w:hAnsi="Calibri" w:cs="Calibri"/>
          <w:i/>
          <w:sz w:val="22"/>
          <w:szCs w:val="22"/>
        </w:rPr>
        <w:t xml:space="preserve">For Long Term Substitute Teachers (Job Classification 1294) with Function 112, use the Subject for the job for which the Substitute has been engaged to teach for all compensation and directly-related benefit accounts.  </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i/>
          <w:sz w:val="22"/>
          <w:szCs w:val="22"/>
        </w:rPr>
      </w:pPr>
      <w:r>
        <w:rPr>
          <w:rFonts w:ascii="Calibri" w:eastAsia="Calibri" w:hAnsi="Calibri" w:cs="Calibri"/>
          <w:i/>
          <w:sz w:val="22"/>
          <w:szCs w:val="22"/>
        </w:rPr>
        <w:t>For all Substitute Teachers (Job Cla</w:t>
      </w:r>
      <w:r>
        <w:rPr>
          <w:rFonts w:ascii="Calibri" w:eastAsia="Calibri" w:hAnsi="Calibri" w:cs="Calibri"/>
          <w:i/>
          <w:sz w:val="22"/>
          <w:szCs w:val="22"/>
        </w:rPr>
        <w:t>ssifications 1294-1299) with Functions 221 and 222, use the appropriate Subject that is assigned to the Teacher for which the Substitute has been engaged to replace, for all compensation and directly-related benefit accounts.  However, when a Substitute Te</w:t>
      </w:r>
      <w:r>
        <w:rPr>
          <w:rFonts w:ascii="Calibri" w:eastAsia="Calibri" w:hAnsi="Calibri" w:cs="Calibri"/>
          <w:i/>
          <w:sz w:val="22"/>
          <w:szCs w:val="22"/>
        </w:rPr>
        <w:t>acher teaches multiple subject in a given day (e.g. Math and English), Subject 0000 may be used in place of the specific subject for which they are subbing.  Use of this exception should be limited.</w:t>
      </w:r>
    </w:p>
    <w:p w:rsidR="00A22F56" w:rsidRDefault="00506037">
      <w:pPr>
        <w:numPr>
          <w:ilvl w:val="0"/>
          <w:numId w:val="27"/>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sz w:val="22"/>
          <w:szCs w:val="22"/>
        </w:rPr>
      </w:pPr>
      <w:r>
        <w:rPr>
          <w:rFonts w:ascii="Calibri" w:eastAsia="Calibri" w:hAnsi="Calibri" w:cs="Calibri"/>
          <w:i/>
          <w:sz w:val="22"/>
          <w:szCs w:val="22"/>
        </w:rPr>
        <w:t xml:space="preserve">Preschools (in District), i.e., Preschools that "belong" </w:t>
      </w:r>
      <w:r>
        <w:rPr>
          <w:rFonts w:ascii="Calibri" w:eastAsia="Calibri" w:hAnsi="Calibri" w:cs="Calibri"/>
          <w:i/>
          <w:sz w:val="22"/>
          <w:szCs w:val="22"/>
        </w:rPr>
        <w:t xml:space="preserve">to the District.  A Pre-school is defined as including only pre-school age groups.   Mandatory Method Rule:  If a Kindergarten class is included with a Pre-school location, that location will be considered to be an Elementary school (Location Type 03) for </w:t>
      </w:r>
      <w:r>
        <w:rPr>
          <w:rFonts w:ascii="Calibri" w:eastAsia="Calibri" w:hAnsi="Calibri" w:cs="Calibri"/>
          <w:i/>
          <w:sz w:val="22"/>
          <w:szCs w:val="22"/>
        </w:rPr>
        <w:t>purposes of the UCOA.  All other Preschools are considered Non-Public/Private Schools (Location Type 08) or a Location Type 09 (Preschools in District).</w:t>
      </w:r>
    </w:p>
    <w:p w:rsidR="00A22F56" w:rsidRDefault="00A22F56">
      <w:pPr>
        <w:spacing w:line="240" w:lineRule="auto"/>
        <w:ind w:left="0" w:hanging="2"/>
        <w:rPr>
          <w:rFonts w:ascii="Calibri" w:eastAsia="Calibri" w:hAnsi="Calibri" w:cs="Calibri"/>
          <w:sz w:val="22"/>
          <w:szCs w:val="22"/>
          <w:u w:val="single"/>
        </w:rPr>
      </w:pPr>
    </w:p>
    <w:p w:rsidR="00A22F56" w:rsidRDefault="00A22F56">
      <w:pPr>
        <w:spacing w:line="240" w:lineRule="auto"/>
        <w:ind w:left="0" w:hanging="2"/>
        <w:rPr>
          <w:rFonts w:ascii="Calibri" w:eastAsia="Calibri" w:hAnsi="Calibri" w:cs="Calibri"/>
          <w:sz w:val="22"/>
          <w:szCs w:val="22"/>
          <w:u w:val="single"/>
        </w:rPr>
      </w:pPr>
    </w:p>
    <w:p w:rsidR="00A22F56" w:rsidRDefault="00506037">
      <w:pPr>
        <w:numPr>
          <w:ilvl w:val="0"/>
          <w:numId w:val="23"/>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Professional Development costs are subject to various UCOA coding requirements.  Determine if the entity has complied with the UCOA requirements for reporting Professional Development costs for four of the five Object accounts:</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46"/>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lastRenderedPageBreak/>
        <w:t>Object 51113 represents the</w:t>
      </w:r>
      <w:r>
        <w:rPr>
          <w:rFonts w:ascii="Calibri" w:eastAsia="Calibri" w:hAnsi="Calibri" w:cs="Calibri"/>
          <w:b/>
          <w:sz w:val="22"/>
          <w:szCs w:val="22"/>
        </w:rPr>
        <w:t xml:space="preserve"> portion of a teacher’s regular salary, as specified in a contract or agreement, for professional days.</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46"/>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Object 51302 represents additional payments made to a teacher for attending school-based professional development.</w:t>
      </w:r>
    </w:p>
    <w:p w:rsidR="00A22F56" w:rsidRDefault="00A22F56">
      <w:pPr>
        <w:spacing w:line="240" w:lineRule="auto"/>
        <w:ind w:left="0" w:hanging="2"/>
        <w:jc w:val="both"/>
        <w:rPr>
          <w:rFonts w:ascii="Calibri" w:eastAsia="Calibri" w:hAnsi="Calibri" w:cs="Calibri"/>
          <w:b/>
          <w:sz w:val="22"/>
          <w:szCs w:val="22"/>
        </w:rPr>
      </w:pPr>
    </w:p>
    <w:p w:rsidR="00A22F56" w:rsidRDefault="00506037">
      <w:pPr>
        <w:numPr>
          <w:ilvl w:val="0"/>
          <w:numId w:val="46"/>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 xml:space="preserve">Object 51303 represents additional </w:t>
      </w:r>
      <w:r>
        <w:rPr>
          <w:rFonts w:ascii="Calibri" w:eastAsia="Calibri" w:hAnsi="Calibri" w:cs="Calibri"/>
          <w:b/>
          <w:sz w:val="22"/>
          <w:szCs w:val="22"/>
        </w:rPr>
        <w:t>payments made to a teacher for attending District-based professional development.</w:t>
      </w:r>
    </w:p>
    <w:p w:rsidR="00A22F56" w:rsidRDefault="00A22F56">
      <w:pPr>
        <w:spacing w:line="240" w:lineRule="auto"/>
        <w:ind w:left="0" w:hanging="2"/>
        <w:rPr>
          <w:rFonts w:ascii="Calibri" w:eastAsia="Calibri" w:hAnsi="Calibri" w:cs="Calibri"/>
          <w:b/>
          <w:sz w:val="22"/>
          <w:szCs w:val="22"/>
        </w:rPr>
      </w:pPr>
    </w:p>
    <w:p w:rsidR="00A22F56" w:rsidRDefault="00506037">
      <w:pPr>
        <w:numPr>
          <w:ilvl w:val="0"/>
          <w:numId w:val="46"/>
        </w:num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Object 53301 represents third-party vendor costs (on-site or off-site) for providing professional development.  For instruction-related personnel, the professional developme</w:t>
      </w:r>
      <w:r>
        <w:rPr>
          <w:rFonts w:ascii="Calibri" w:eastAsia="Calibri" w:hAnsi="Calibri" w:cs="Calibri"/>
          <w:b/>
          <w:sz w:val="22"/>
          <w:szCs w:val="22"/>
        </w:rPr>
        <w:t xml:space="preserve">nt costs should be posted to Function 222.  For all other personnel, the professional development costs should be posted to the same Function account as the base wages.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A review of union contracts and the adopted budget will provide information related t</w:t>
      </w:r>
      <w:r>
        <w:rPr>
          <w:rFonts w:ascii="Calibri" w:eastAsia="Calibri" w:hAnsi="Calibri" w:cs="Calibri"/>
          <w:sz w:val="22"/>
          <w:szCs w:val="22"/>
        </w:rPr>
        <w:t>o professional development to be offered to teachers.</w:t>
      </w: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Review payroll records to verify compliance with UCOA rules for Objects 51113, 51302, and 51303. (This may be satisfied by testing one payroll record which includes postings to these Object accounts and</w:t>
      </w:r>
      <w:r>
        <w:rPr>
          <w:rFonts w:ascii="Calibri" w:eastAsia="Calibri" w:hAnsi="Calibri" w:cs="Calibri"/>
          <w:sz w:val="22"/>
          <w:szCs w:val="22"/>
        </w:rPr>
        <w:t xml:space="preserve"> which may have been selected in compliance testing requirement 1 or 4).</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Select a sample size of 5 transactions posted to Object 53301 (If less than 5 total transactions, sample all transactions).  Examine the supporting vendor invoice to identify the spe</w:t>
      </w:r>
      <w:r>
        <w:rPr>
          <w:rFonts w:ascii="Calibri" w:eastAsia="Calibri" w:hAnsi="Calibri" w:cs="Calibri"/>
          <w:sz w:val="22"/>
          <w:szCs w:val="22"/>
        </w:rPr>
        <w:t>cific employee(s) receiving professional development services and trace the employee name to the payroll record to determine the Function account to which base wages (Object 51113) were charged.  Verify the professional development costs were posted to the</w:t>
      </w:r>
      <w:r>
        <w:rPr>
          <w:rFonts w:ascii="Calibri" w:eastAsia="Calibri" w:hAnsi="Calibri" w:cs="Calibri"/>
          <w:sz w:val="22"/>
          <w:szCs w:val="22"/>
        </w:rPr>
        <w:t xml:space="preserve"> proper Function account based on the UCOA rules for the Function Series.  (Expenditures selected in Compliance Testing Requirement No. 1 may be used to satisfy this compliance testing requirement.)</w:t>
      </w: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jc w:val="both"/>
        <w:rPr>
          <w:rFonts w:ascii="Calibri" w:eastAsia="Calibri" w:hAnsi="Calibri" w:cs="Calibri"/>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jc w:val="center"/>
        <w:rPr>
          <w:rFonts w:ascii="Calibri" w:eastAsia="Calibri" w:hAnsi="Calibri" w:cs="Calibri"/>
          <w:i/>
          <w:color w:val="000000"/>
          <w:sz w:val="22"/>
          <w:szCs w:val="22"/>
          <w:u w:val="single"/>
        </w:rPr>
      </w:pPr>
      <w:r>
        <w:rPr>
          <w:rFonts w:ascii="Calibri" w:eastAsia="Calibri" w:hAnsi="Calibri" w:cs="Calibri"/>
          <w:b/>
          <w:color w:val="000000"/>
          <w:sz w:val="22"/>
          <w:szCs w:val="22"/>
          <w:u w:val="single"/>
        </w:rPr>
        <w:t>UCOA Rules to be Tested</w:t>
      </w:r>
      <w:r>
        <w:rPr>
          <w:rFonts w:ascii="Calibri" w:eastAsia="Calibri" w:hAnsi="Calibri" w:cs="Calibri"/>
          <w:i/>
          <w:color w:val="000000"/>
          <w:sz w:val="22"/>
          <w:szCs w:val="22"/>
          <w:u w:val="single"/>
        </w:rPr>
        <w:t>:</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i/>
          <w:color w:val="000000"/>
          <w:sz w:val="22"/>
          <w:szCs w:val="22"/>
          <w:u w:val="single"/>
        </w:rPr>
      </w:pPr>
      <w:r>
        <w:rPr>
          <w:rFonts w:ascii="Calibri" w:eastAsia="Calibri" w:hAnsi="Calibri" w:cs="Calibri"/>
          <w:b/>
          <w:color w:val="1F497D"/>
          <w:sz w:val="22"/>
          <w:szCs w:val="22"/>
        </w:rPr>
        <w:t xml:space="preserve">DEFINITION:  Object 51113 - Professional Days.  </w:t>
      </w:r>
      <w:r>
        <w:rPr>
          <w:rFonts w:ascii="Calibri" w:eastAsia="Calibri" w:hAnsi="Calibri" w:cs="Calibri"/>
          <w:color w:val="1F497D"/>
          <w:sz w:val="22"/>
          <w:szCs w:val="22"/>
        </w:rPr>
        <w:t>Full-time, part-time, and prorated portions of the costs for professional development days for employees of the District.</w:t>
      </w:r>
    </w:p>
    <w:p w:rsidR="00A22F56" w:rsidRDefault="00506037">
      <w:pPr>
        <w:numPr>
          <w:ilvl w:val="0"/>
          <w:numId w:val="24"/>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jc w:val="both"/>
        <w:rPr>
          <w:rFonts w:ascii="Calibri" w:eastAsia="Calibri" w:hAnsi="Calibri" w:cs="Calibri"/>
          <w:i/>
          <w:sz w:val="22"/>
          <w:szCs w:val="22"/>
        </w:rPr>
      </w:pPr>
      <w:r>
        <w:rPr>
          <w:rFonts w:ascii="Calibri" w:eastAsia="Calibri" w:hAnsi="Calibri" w:cs="Calibri"/>
          <w:i/>
          <w:sz w:val="22"/>
          <w:szCs w:val="22"/>
        </w:rPr>
        <w:t xml:space="preserve">Include in </w:t>
      </w:r>
      <w:r>
        <w:rPr>
          <w:rFonts w:ascii="Calibri" w:eastAsia="Calibri" w:hAnsi="Calibri" w:cs="Calibri"/>
          <w:b/>
          <w:i/>
          <w:sz w:val="22"/>
          <w:szCs w:val="22"/>
          <w:u w:val="single"/>
        </w:rPr>
        <w:t>Object 51113</w:t>
      </w:r>
      <w:r>
        <w:rPr>
          <w:rFonts w:ascii="Calibri" w:eastAsia="Calibri" w:hAnsi="Calibri" w:cs="Calibri"/>
          <w:i/>
          <w:sz w:val="22"/>
          <w:szCs w:val="22"/>
        </w:rPr>
        <w:t xml:space="preserve"> (Professional Days) the amount prorated from Object 51110 (Reg</w:t>
      </w:r>
      <w:r>
        <w:rPr>
          <w:rFonts w:ascii="Calibri" w:eastAsia="Calibri" w:hAnsi="Calibri" w:cs="Calibri"/>
          <w:i/>
          <w:sz w:val="22"/>
          <w:szCs w:val="22"/>
        </w:rPr>
        <w:t>ular Salaries) the actual number of days included in applicable contracts and agreements relating to Professional Days or Professional Development or prorated based on the anticipated number of days if not specified in the contracts.</w:t>
      </w:r>
    </w:p>
    <w:p w:rsidR="00A22F56" w:rsidRDefault="00506037">
      <w:pPr>
        <w:numPr>
          <w:ilvl w:val="0"/>
          <w:numId w:val="24"/>
        </w:numPr>
        <w:pBdr>
          <w:top w:val="single" w:sz="4" w:space="1" w:color="000000"/>
          <w:left w:val="single" w:sz="4" w:space="4" w:color="000000"/>
          <w:bottom w:val="single" w:sz="4" w:space="1" w:color="000000"/>
          <w:right w:val="single" w:sz="4" w:space="4" w:color="000000"/>
        </w:pBdr>
        <w:shd w:val="clear" w:color="auto" w:fill="F2F2F2"/>
        <w:spacing w:before="240" w:after="120" w:line="240" w:lineRule="auto"/>
        <w:ind w:left="0" w:right="360" w:hanging="2"/>
        <w:jc w:val="both"/>
        <w:rPr>
          <w:rFonts w:ascii="Calibri" w:eastAsia="Calibri" w:hAnsi="Calibri" w:cs="Calibri"/>
          <w:i/>
          <w:sz w:val="22"/>
          <w:szCs w:val="22"/>
        </w:rPr>
      </w:pPr>
      <w:r>
        <w:rPr>
          <w:rFonts w:ascii="Calibri" w:eastAsia="Calibri" w:hAnsi="Calibri" w:cs="Calibri"/>
          <w:i/>
          <w:sz w:val="22"/>
          <w:szCs w:val="22"/>
        </w:rPr>
        <w:t xml:space="preserve">For </w:t>
      </w:r>
      <w:r>
        <w:rPr>
          <w:rFonts w:ascii="Calibri" w:eastAsia="Calibri" w:hAnsi="Calibri" w:cs="Calibri"/>
          <w:b/>
          <w:i/>
          <w:sz w:val="22"/>
          <w:szCs w:val="22"/>
          <w:u w:val="single"/>
        </w:rPr>
        <w:t>Object 51113</w:t>
      </w:r>
      <w:r>
        <w:rPr>
          <w:rFonts w:ascii="Calibri" w:eastAsia="Calibri" w:hAnsi="Calibri" w:cs="Calibri"/>
          <w:i/>
          <w:sz w:val="22"/>
          <w:szCs w:val="22"/>
        </w:rPr>
        <w:t>, use Function 222 only for employees whose Regular Salary (Object 51110) is charged to the 100 and 200 Function Series.  For all others, use the same Function account used for their Regular Salary in the 300, 400, and 500 Series.  Functions 000, 411, 421,</w:t>
      </w:r>
      <w:r>
        <w:rPr>
          <w:rFonts w:ascii="Calibri" w:eastAsia="Calibri" w:hAnsi="Calibri" w:cs="Calibri"/>
          <w:i/>
          <w:sz w:val="22"/>
          <w:szCs w:val="22"/>
        </w:rPr>
        <w:t xml:space="preserve"> 422, 441, 997, 998, and 999 may not be used.  For each employee, use the same Location, Program, Subject, and Job Classification account number as is used with Object 51110 (Regular Salaries).</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before="240" w:after="120" w:line="240" w:lineRule="auto"/>
        <w:ind w:left="0" w:right="360" w:hanging="2"/>
        <w:jc w:val="both"/>
        <w:rPr>
          <w:rFonts w:ascii="Calibri" w:eastAsia="Calibri" w:hAnsi="Calibri" w:cs="Calibri"/>
          <w:color w:val="1F497D"/>
          <w:sz w:val="22"/>
          <w:szCs w:val="22"/>
        </w:rPr>
      </w:pPr>
      <w:r>
        <w:rPr>
          <w:rFonts w:ascii="Calibri" w:eastAsia="Calibri" w:hAnsi="Calibri" w:cs="Calibri"/>
          <w:b/>
          <w:color w:val="1F497D"/>
          <w:sz w:val="22"/>
          <w:szCs w:val="22"/>
        </w:rPr>
        <w:t>DEFINITION:  Object 51302 – Professional Development - School.</w:t>
      </w:r>
      <w:r>
        <w:rPr>
          <w:rFonts w:ascii="Calibri" w:eastAsia="Calibri" w:hAnsi="Calibri" w:cs="Calibri"/>
          <w:color w:val="1F497D"/>
          <w:sz w:val="22"/>
          <w:szCs w:val="22"/>
        </w:rPr>
        <w:t xml:space="preserve">  Amounts paid to District employees (in addition to regular salaries) for professional development that is related to School-based (and budgeted at the School level) professional development.</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before="240" w:after="120" w:line="240" w:lineRule="auto"/>
        <w:ind w:left="0" w:right="360" w:hanging="2"/>
        <w:jc w:val="both"/>
        <w:rPr>
          <w:rFonts w:ascii="Calibri" w:eastAsia="Calibri" w:hAnsi="Calibri" w:cs="Calibri"/>
          <w:color w:val="1F497D"/>
          <w:sz w:val="22"/>
          <w:szCs w:val="22"/>
        </w:rPr>
      </w:pPr>
      <w:r>
        <w:rPr>
          <w:rFonts w:ascii="Calibri" w:eastAsia="Calibri" w:hAnsi="Calibri" w:cs="Calibri"/>
          <w:b/>
          <w:color w:val="1F497D"/>
          <w:sz w:val="22"/>
          <w:szCs w:val="22"/>
        </w:rPr>
        <w:t>DEFINITION:  Object 51303 – Professional Development - District</w:t>
      </w:r>
      <w:r>
        <w:rPr>
          <w:rFonts w:ascii="Calibri" w:eastAsia="Calibri" w:hAnsi="Calibri" w:cs="Calibri"/>
          <w:b/>
          <w:color w:val="1F497D"/>
          <w:sz w:val="22"/>
          <w:szCs w:val="22"/>
        </w:rPr>
        <w:t>s.</w:t>
      </w:r>
      <w:r>
        <w:rPr>
          <w:rFonts w:ascii="Calibri" w:eastAsia="Calibri" w:hAnsi="Calibri" w:cs="Calibri"/>
          <w:color w:val="1F497D"/>
          <w:sz w:val="22"/>
          <w:szCs w:val="22"/>
        </w:rPr>
        <w:t xml:space="preserve">  Amounts paid to District employees (in addition to regular salaries) for professional development that is related to District-based (and budgeted at the District level) professional development.</w:t>
      </w:r>
    </w:p>
    <w:p w:rsidR="00A22F56" w:rsidRDefault="00506037">
      <w:pPr>
        <w:numPr>
          <w:ilvl w:val="0"/>
          <w:numId w:val="24"/>
        </w:num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i/>
          <w:sz w:val="22"/>
          <w:szCs w:val="22"/>
        </w:rPr>
      </w:pPr>
      <w:r>
        <w:rPr>
          <w:rFonts w:ascii="Calibri" w:eastAsia="Calibri" w:hAnsi="Calibri" w:cs="Calibri"/>
          <w:i/>
          <w:sz w:val="22"/>
          <w:szCs w:val="22"/>
        </w:rPr>
        <w:t>For</w:t>
      </w:r>
      <w:r>
        <w:rPr>
          <w:rFonts w:ascii="Calibri" w:eastAsia="Calibri" w:hAnsi="Calibri" w:cs="Calibri"/>
          <w:b/>
          <w:i/>
          <w:sz w:val="22"/>
          <w:szCs w:val="22"/>
          <w:u w:val="single"/>
        </w:rPr>
        <w:t xml:space="preserve"> Objects 51302 and 51303</w:t>
      </w:r>
      <w:r>
        <w:rPr>
          <w:rFonts w:ascii="Calibri" w:eastAsia="Calibri" w:hAnsi="Calibri" w:cs="Calibri"/>
          <w:i/>
          <w:sz w:val="22"/>
          <w:szCs w:val="22"/>
        </w:rPr>
        <w:t>, use Function 222 only for em</w:t>
      </w:r>
      <w:r>
        <w:rPr>
          <w:rFonts w:ascii="Calibri" w:eastAsia="Calibri" w:hAnsi="Calibri" w:cs="Calibri"/>
          <w:i/>
          <w:sz w:val="22"/>
          <w:szCs w:val="22"/>
        </w:rPr>
        <w:t xml:space="preserve">ployees whose Regular Salary (Object 51110) is charged to the 100 and 200 Function Series.  </w:t>
      </w:r>
      <w:r>
        <w:rPr>
          <w:rFonts w:ascii="Calibri" w:eastAsia="Calibri" w:hAnsi="Calibri" w:cs="Calibri"/>
          <w:i/>
          <w:sz w:val="22"/>
          <w:szCs w:val="22"/>
        </w:rPr>
        <w:br/>
      </w:r>
      <w:r>
        <w:rPr>
          <w:rFonts w:ascii="Calibri" w:eastAsia="Calibri" w:hAnsi="Calibri" w:cs="Calibri"/>
          <w:i/>
          <w:sz w:val="22"/>
          <w:szCs w:val="22"/>
        </w:rPr>
        <w:lastRenderedPageBreak/>
        <w:br/>
        <w:t xml:space="preserve">For all others, use the same Function account used for their Regular Salary in the 300, 400, and 500 Series.  </w:t>
      </w:r>
      <w:r>
        <w:rPr>
          <w:rFonts w:ascii="Calibri" w:eastAsia="Calibri" w:hAnsi="Calibri" w:cs="Calibri"/>
          <w:i/>
          <w:sz w:val="22"/>
          <w:szCs w:val="22"/>
        </w:rPr>
        <w:br/>
      </w:r>
      <w:r>
        <w:rPr>
          <w:rFonts w:ascii="Calibri" w:eastAsia="Calibri" w:hAnsi="Calibri" w:cs="Calibri"/>
          <w:i/>
          <w:sz w:val="22"/>
          <w:szCs w:val="22"/>
        </w:rPr>
        <w:br/>
        <w:t>For Out-of-District Locations, use Function 431 on</w:t>
      </w:r>
      <w:r>
        <w:rPr>
          <w:rFonts w:ascii="Calibri" w:eastAsia="Calibri" w:hAnsi="Calibri" w:cs="Calibri"/>
          <w:i/>
          <w:sz w:val="22"/>
          <w:szCs w:val="22"/>
        </w:rPr>
        <w:t xml:space="preserve">ly. </w:t>
      </w:r>
      <w:r>
        <w:rPr>
          <w:rFonts w:ascii="Calibri" w:eastAsia="Calibri" w:hAnsi="Calibri" w:cs="Calibri"/>
          <w:i/>
          <w:sz w:val="22"/>
          <w:szCs w:val="22"/>
        </w:rPr>
        <w:br/>
      </w:r>
      <w:r>
        <w:rPr>
          <w:rFonts w:ascii="Calibri" w:eastAsia="Calibri" w:hAnsi="Calibri" w:cs="Calibri"/>
          <w:i/>
          <w:sz w:val="22"/>
          <w:szCs w:val="22"/>
        </w:rPr>
        <w:br/>
        <w:t xml:space="preserve">Functions 000, 411, 421, 422, 441, 997, 998, and 999 may not be used.  </w:t>
      </w:r>
      <w:r>
        <w:rPr>
          <w:rFonts w:ascii="Calibri" w:eastAsia="Calibri" w:hAnsi="Calibri" w:cs="Calibri"/>
          <w:i/>
          <w:sz w:val="22"/>
          <w:szCs w:val="22"/>
        </w:rPr>
        <w:br/>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after="120" w:line="240" w:lineRule="auto"/>
        <w:ind w:left="0" w:right="360" w:hanging="2"/>
        <w:rPr>
          <w:rFonts w:ascii="Calibri" w:eastAsia="Calibri" w:hAnsi="Calibri" w:cs="Calibri"/>
          <w:i/>
          <w:sz w:val="22"/>
          <w:szCs w:val="22"/>
        </w:rPr>
      </w:pPr>
      <w:r>
        <w:rPr>
          <w:rFonts w:ascii="Calibri" w:eastAsia="Calibri" w:hAnsi="Calibri" w:cs="Calibri"/>
          <w:i/>
          <w:sz w:val="22"/>
          <w:szCs w:val="22"/>
        </w:rPr>
        <w:t>For employees whose Function account is in the 100 or 200 Series, 511, or 512, as used with Object 51110 (Regular Salaries), use the specific Subject account for the subject they have received Professional Development known as the "Follow the Topic" Concep</w:t>
      </w:r>
      <w:r>
        <w:rPr>
          <w:rFonts w:ascii="Calibri" w:eastAsia="Calibri" w:hAnsi="Calibri" w:cs="Calibri"/>
          <w:i/>
          <w:sz w:val="22"/>
          <w:szCs w:val="22"/>
        </w:rPr>
        <w:t xml:space="preserve">t.   If not Subject-specific, for General Education courses related to Instruction, use Subject 0000. For courses not related to Instruction, use Subject 2500.  </w:t>
      </w:r>
      <w:r>
        <w:rPr>
          <w:rFonts w:ascii="Calibri" w:eastAsia="Calibri" w:hAnsi="Calibri" w:cs="Calibri"/>
          <w:i/>
          <w:sz w:val="22"/>
          <w:szCs w:val="22"/>
        </w:rPr>
        <w:br/>
      </w:r>
      <w:r>
        <w:rPr>
          <w:rFonts w:ascii="Calibri" w:eastAsia="Calibri" w:hAnsi="Calibri" w:cs="Calibri"/>
          <w:i/>
          <w:sz w:val="22"/>
          <w:szCs w:val="22"/>
        </w:rPr>
        <w:br/>
        <w:t>For employees whose Function account is in the 300 or 400 Series, 521, 531, or 532, as used w</w:t>
      </w:r>
      <w:r>
        <w:rPr>
          <w:rFonts w:ascii="Calibri" w:eastAsia="Calibri" w:hAnsi="Calibri" w:cs="Calibri"/>
          <w:i/>
          <w:sz w:val="22"/>
          <w:szCs w:val="22"/>
        </w:rPr>
        <w:t xml:space="preserve">ith Object 51110 (Regular Salaries), use Subject 2500 </w:t>
      </w:r>
      <w:r>
        <w:rPr>
          <w:rFonts w:ascii="Calibri" w:eastAsia="Calibri" w:hAnsi="Calibri" w:cs="Calibri"/>
          <w:b/>
          <w:i/>
          <w:sz w:val="22"/>
          <w:szCs w:val="22"/>
        </w:rPr>
        <w:t>only</w:t>
      </w:r>
      <w:r>
        <w:rPr>
          <w:rFonts w:ascii="Calibri" w:eastAsia="Calibri" w:hAnsi="Calibri" w:cs="Calibri"/>
          <w:i/>
          <w:sz w:val="22"/>
          <w:szCs w:val="22"/>
        </w:rPr>
        <w:t>.</w:t>
      </w:r>
    </w:p>
    <w:p w:rsidR="00A22F56" w:rsidRDefault="00506037">
      <w:pPr>
        <w:pBdr>
          <w:top w:val="single" w:sz="4" w:space="1" w:color="000000"/>
          <w:left w:val="single" w:sz="4" w:space="4" w:color="000000"/>
          <w:bottom w:val="single" w:sz="4" w:space="1" w:color="000000"/>
          <w:right w:val="single" w:sz="4" w:space="4" w:color="000000"/>
        </w:pBdr>
        <w:shd w:val="clear" w:color="auto" w:fill="F2F2F2"/>
        <w:spacing w:before="240" w:after="120" w:line="240" w:lineRule="auto"/>
        <w:ind w:left="0" w:right="360" w:hanging="2"/>
        <w:jc w:val="both"/>
        <w:rPr>
          <w:rFonts w:ascii="Calibri" w:eastAsia="Calibri" w:hAnsi="Calibri" w:cs="Calibri"/>
          <w:color w:val="1F497D"/>
          <w:sz w:val="22"/>
          <w:szCs w:val="22"/>
        </w:rPr>
      </w:pPr>
      <w:r>
        <w:rPr>
          <w:rFonts w:ascii="Calibri" w:eastAsia="Calibri" w:hAnsi="Calibri" w:cs="Calibri"/>
          <w:b/>
          <w:color w:val="1F497D"/>
          <w:sz w:val="22"/>
          <w:szCs w:val="22"/>
        </w:rPr>
        <w:t>DEFINITION:  Object 53301 – Purchased Professional Development and Training Services.</w:t>
      </w:r>
      <w:r>
        <w:rPr>
          <w:rFonts w:ascii="Calibri" w:eastAsia="Calibri" w:hAnsi="Calibri" w:cs="Calibri"/>
          <w:color w:val="1F497D"/>
          <w:sz w:val="22"/>
          <w:szCs w:val="22"/>
        </w:rPr>
        <w:t xml:space="preserve">  Services supporting the professional development and training of District personnel, including instructional </w:t>
      </w:r>
      <w:r>
        <w:rPr>
          <w:rFonts w:ascii="Calibri" w:eastAsia="Calibri" w:hAnsi="Calibri" w:cs="Calibri"/>
          <w:color w:val="1F497D"/>
          <w:sz w:val="22"/>
          <w:szCs w:val="22"/>
        </w:rPr>
        <w:t>and administrative employees.  Also applies to fees paid to consultants who attend training sessions provided by the District.</w:t>
      </w:r>
    </w:p>
    <w:p w:rsidR="00A22F56" w:rsidRDefault="00506037">
      <w:pPr>
        <w:numPr>
          <w:ilvl w:val="0"/>
          <w:numId w:val="24"/>
        </w:numPr>
        <w:pBdr>
          <w:top w:val="single" w:sz="4" w:space="1" w:color="000000"/>
          <w:left w:val="single" w:sz="4" w:space="4" w:color="000000"/>
          <w:bottom w:val="single" w:sz="4" w:space="1" w:color="000000"/>
          <w:right w:val="single" w:sz="4" w:space="4" w:color="000000"/>
        </w:pBdr>
        <w:shd w:val="clear" w:color="auto" w:fill="F2F2F2"/>
        <w:spacing w:before="240" w:after="120" w:line="240" w:lineRule="auto"/>
        <w:ind w:left="0" w:right="360" w:hanging="2"/>
        <w:rPr>
          <w:rFonts w:ascii="Calibri" w:eastAsia="Calibri" w:hAnsi="Calibri" w:cs="Calibri"/>
          <w:i/>
          <w:sz w:val="22"/>
          <w:szCs w:val="22"/>
        </w:rPr>
      </w:pPr>
      <w:r>
        <w:rPr>
          <w:rFonts w:ascii="Calibri" w:eastAsia="Calibri" w:hAnsi="Calibri" w:cs="Calibri"/>
          <w:i/>
          <w:sz w:val="22"/>
          <w:szCs w:val="22"/>
        </w:rPr>
        <w:t xml:space="preserve">For </w:t>
      </w:r>
      <w:r>
        <w:rPr>
          <w:rFonts w:ascii="Calibri" w:eastAsia="Calibri" w:hAnsi="Calibri" w:cs="Calibri"/>
          <w:b/>
          <w:i/>
          <w:sz w:val="22"/>
          <w:szCs w:val="22"/>
          <w:u w:val="single"/>
        </w:rPr>
        <w:t>Object 53301</w:t>
      </w:r>
      <w:r>
        <w:rPr>
          <w:rFonts w:ascii="Calibri" w:eastAsia="Calibri" w:hAnsi="Calibri" w:cs="Calibri"/>
          <w:i/>
          <w:sz w:val="22"/>
          <w:szCs w:val="22"/>
        </w:rPr>
        <w:t xml:space="preserve">, use Function 222 only for employees whose Regular Salary (Object 51110) is charged to the 100 and 200 Function Series.  </w:t>
      </w:r>
      <w:r>
        <w:rPr>
          <w:rFonts w:ascii="Calibri" w:eastAsia="Calibri" w:hAnsi="Calibri" w:cs="Calibri"/>
          <w:i/>
          <w:sz w:val="22"/>
          <w:szCs w:val="22"/>
        </w:rPr>
        <w:br/>
      </w:r>
      <w:r>
        <w:rPr>
          <w:rFonts w:ascii="Calibri" w:eastAsia="Calibri" w:hAnsi="Calibri" w:cs="Calibri"/>
          <w:i/>
          <w:sz w:val="22"/>
          <w:szCs w:val="22"/>
        </w:rPr>
        <w:br/>
        <w:t xml:space="preserve">For all others, use the same Function account used for their Regular Salary in the 300, 400, and 500 Series.  </w:t>
      </w:r>
      <w:r>
        <w:rPr>
          <w:rFonts w:ascii="Calibri" w:eastAsia="Calibri" w:hAnsi="Calibri" w:cs="Calibri"/>
          <w:i/>
          <w:sz w:val="22"/>
          <w:szCs w:val="22"/>
        </w:rPr>
        <w:br/>
      </w:r>
      <w:r>
        <w:rPr>
          <w:rFonts w:ascii="Calibri" w:eastAsia="Calibri" w:hAnsi="Calibri" w:cs="Calibri"/>
          <w:i/>
          <w:sz w:val="22"/>
          <w:szCs w:val="22"/>
        </w:rPr>
        <w:br/>
        <w:t xml:space="preserve">For Out-of-District </w:t>
      </w:r>
      <w:r>
        <w:rPr>
          <w:rFonts w:ascii="Calibri" w:eastAsia="Calibri" w:hAnsi="Calibri" w:cs="Calibri"/>
          <w:i/>
          <w:sz w:val="22"/>
          <w:szCs w:val="22"/>
        </w:rPr>
        <w:t xml:space="preserve">Locations, use Function 431 only. </w:t>
      </w:r>
      <w:r>
        <w:rPr>
          <w:rFonts w:ascii="Calibri" w:eastAsia="Calibri" w:hAnsi="Calibri" w:cs="Calibri"/>
          <w:i/>
          <w:sz w:val="22"/>
          <w:szCs w:val="22"/>
        </w:rPr>
        <w:br/>
      </w:r>
      <w:r>
        <w:rPr>
          <w:rFonts w:ascii="Calibri" w:eastAsia="Calibri" w:hAnsi="Calibri" w:cs="Calibri"/>
          <w:i/>
          <w:sz w:val="22"/>
          <w:szCs w:val="22"/>
        </w:rPr>
        <w:br/>
        <w:t xml:space="preserve">Functions 000, 411, 421, 422, 441, 997, 998, and 999 may not be used.  </w:t>
      </w:r>
      <w:r>
        <w:rPr>
          <w:rFonts w:ascii="Calibri" w:eastAsia="Calibri" w:hAnsi="Calibri" w:cs="Calibri"/>
          <w:i/>
          <w:sz w:val="22"/>
          <w:szCs w:val="22"/>
        </w:rPr>
        <w:br/>
      </w:r>
      <w:r>
        <w:rPr>
          <w:rFonts w:ascii="Calibri" w:eastAsia="Calibri" w:hAnsi="Calibri" w:cs="Calibri"/>
          <w:i/>
          <w:sz w:val="22"/>
          <w:szCs w:val="22"/>
        </w:rPr>
        <w:br/>
        <w:t>Use the specific Subject account for the Subject to which Professional Development Services are rendered ("Follow the Topic").  For General Educati</w:t>
      </w:r>
      <w:r>
        <w:rPr>
          <w:rFonts w:ascii="Calibri" w:eastAsia="Calibri" w:hAnsi="Calibri" w:cs="Calibri"/>
          <w:i/>
          <w:sz w:val="22"/>
          <w:szCs w:val="22"/>
        </w:rPr>
        <w:t>on courses related to Instruction, use Subject 0000.  For courses not related to Instruction, use Subject 2500.  Subjects 9700, 9800, and 9900 may not be used.</w:t>
      </w:r>
    </w:p>
    <w:p w:rsidR="00A22F56" w:rsidRDefault="00A22F56">
      <w:pPr>
        <w:spacing w:after="160" w:line="259" w:lineRule="auto"/>
        <w:ind w:left="0" w:hanging="2"/>
        <w:rPr>
          <w:rFonts w:ascii="Calibri" w:eastAsia="Calibri" w:hAnsi="Calibri" w:cs="Calibri"/>
          <w:b/>
          <w:sz w:val="22"/>
          <w:szCs w:val="22"/>
        </w:rPr>
      </w:pPr>
    </w:p>
    <w:p w:rsidR="00A22F56" w:rsidRDefault="00506037">
      <w:pPr>
        <w:spacing w:after="160" w:line="259" w:lineRule="auto"/>
        <w:ind w:left="0" w:hanging="2"/>
        <w:rPr>
          <w:rFonts w:ascii="Calibri" w:eastAsia="Calibri" w:hAnsi="Calibri" w:cs="Calibri"/>
          <w:b/>
          <w:sz w:val="22"/>
          <w:szCs w:val="22"/>
        </w:rPr>
      </w:pPr>
      <w:r>
        <w:br w:type="page"/>
      </w:r>
    </w:p>
    <w:p w:rsidR="00A22F56" w:rsidRDefault="00506037">
      <w:pPr>
        <w:shd w:val="clear" w:color="auto" w:fill="CCFFFF"/>
        <w:spacing w:line="240" w:lineRule="auto"/>
        <w:ind w:left="0" w:hanging="2"/>
        <w:jc w:val="both"/>
        <w:rPr>
          <w:rFonts w:ascii="Calibri" w:eastAsia="Calibri" w:hAnsi="Calibri" w:cs="Calibri"/>
          <w:b/>
        </w:rPr>
      </w:pPr>
      <w:r>
        <w:rPr>
          <w:rFonts w:ascii="Calibri" w:eastAsia="Calibri" w:hAnsi="Calibri" w:cs="Calibri"/>
          <w:b/>
        </w:rPr>
        <w:lastRenderedPageBreak/>
        <w:t>COMPLIANCE REPORTING REQUIREMENTS:</w:t>
      </w:r>
    </w:p>
    <w:p w:rsidR="00A22F56" w:rsidRDefault="00A22F56">
      <w:pPr>
        <w:spacing w:line="240" w:lineRule="auto"/>
        <w:ind w:left="0" w:hanging="2"/>
        <w:jc w:val="both"/>
        <w:rPr>
          <w:rFonts w:ascii="Calibri" w:eastAsia="Calibri" w:hAnsi="Calibri" w:cs="Calibri"/>
          <w:b/>
          <w:sz w:val="22"/>
          <w:szCs w:val="22"/>
        </w:rPr>
      </w:pPr>
    </w:p>
    <w:p w:rsidR="00A22F56" w:rsidRDefault="00506037">
      <w:pPr>
        <w:pBdr>
          <w:top w:val="single" w:sz="4" w:space="1" w:color="000000"/>
          <w:left w:val="single" w:sz="4" w:space="4" w:color="000000"/>
          <w:bottom w:val="single" w:sz="4" w:space="1" w:color="000000"/>
          <w:right w:val="single" w:sz="4" w:space="4" w:color="000000"/>
        </w:pBdr>
        <w:shd w:val="clear" w:color="auto" w:fill="DEEAF6"/>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Auditors shall follow the guidance included in the AICPA Codification of Statements on Standards for Attestation Engagements  AT-C Section 105, </w:t>
      </w:r>
      <w:r>
        <w:rPr>
          <w:rFonts w:ascii="Calibri" w:eastAsia="Calibri" w:hAnsi="Calibri" w:cs="Calibri"/>
          <w:i/>
          <w:sz w:val="22"/>
          <w:szCs w:val="22"/>
        </w:rPr>
        <w:t>Concepts Common to All Attestation Engagements</w:t>
      </w:r>
      <w:r>
        <w:rPr>
          <w:rFonts w:ascii="Calibri" w:eastAsia="Calibri" w:hAnsi="Calibri" w:cs="Calibri"/>
          <w:sz w:val="22"/>
          <w:szCs w:val="22"/>
        </w:rPr>
        <w:t xml:space="preserve">; AT-C Section 215, </w:t>
      </w:r>
      <w:r>
        <w:rPr>
          <w:rFonts w:ascii="Calibri" w:eastAsia="Calibri" w:hAnsi="Calibri" w:cs="Calibri"/>
          <w:i/>
          <w:sz w:val="22"/>
          <w:szCs w:val="22"/>
        </w:rPr>
        <w:t>Agreed-Upon Procedures Engagements</w:t>
      </w:r>
      <w:r>
        <w:rPr>
          <w:rFonts w:ascii="Calibri" w:eastAsia="Calibri" w:hAnsi="Calibri" w:cs="Calibri"/>
          <w:sz w:val="22"/>
          <w:szCs w:val="22"/>
        </w:rPr>
        <w:t>; and AT-C S</w:t>
      </w:r>
      <w:r>
        <w:rPr>
          <w:rFonts w:ascii="Calibri" w:eastAsia="Calibri" w:hAnsi="Calibri" w:cs="Calibri"/>
          <w:sz w:val="22"/>
          <w:szCs w:val="22"/>
        </w:rPr>
        <w:t xml:space="preserve">ection 315, </w:t>
      </w:r>
      <w:r>
        <w:rPr>
          <w:rFonts w:ascii="Calibri" w:eastAsia="Calibri" w:hAnsi="Calibri" w:cs="Calibri"/>
          <w:i/>
          <w:sz w:val="22"/>
          <w:szCs w:val="22"/>
        </w:rPr>
        <w:t>Compliance Attestation</w:t>
      </w:r>
      <w:r>
        <w:rPr>
          <w:rFonts w:ascii="Calibri" w:eastAsia="Calibri" w:hAnsi="Calibri" w:cs="Calibri"/>
          <w:sz w:val="22"/>
          <w:szCs w:val="22"/>
        </w:rPr>
        <w:t xml:space="preserve">.  The auditors shall comply with </w:t>
      </w:r>
      <w:r>
        <w:rPr>
          <w:rFonts w:ascii="Calibri" w:eastAsia="Calibri" w:hAnsi="Calibri" w:cs="Calibri"/>
          <w:i/>
          <w:sz w:val="22"/>
          <w:szCs w:val="22"/>
        </w:rPr>
        <w:t>Government Auditing Standards</w:t>
      </w:r>
      <w:r>
        <w:rPr>
          <w:rFonts w:ascii="Calibri" w:eastAsia="Calibri" w:hAnsi="Calibri" w:cs="Calibri"/>
          <w:sz w:val="22"/>
          <w:szCs w:val="22"/>
        </w:rPr>
        <w:t xml:space="preserve"> requirements for agreed-upon procedures engagements; specifically, paragraphs 5.58 through 5.67 (Please Note – Starting with fiscal 2020 engagements, the audi</w:t>
      </w:r>
      <w:r>
        <w:rPr>
          <w:rFonts w:ascii="Calibri" w:eastAsia="Calibri" w:hAnsi="Calibri" w:cs="Calibri"/>
          <w:sz w:val="22"/>
          <w:szCs w:val="22"/>
        </w:rPr>
        <w:t xml:space="preserve">tors shall comply with the 2018 Revision of </w:t>
      </w:r>
      <w:r>
        <w:rPr>
          <w:rFonts w:ascii="Calibri" w:eastAsia="Calibri" w:hAnsi="Calibri" w:cs="Calibri"/>
          <w:i/>
          <w:sz w:val="22"/>
          <w:szCs w:val="22"/>
        </w:rPr>
        <w:t>Government Auditing Standards (paragraphs 7.78 through 7.85)</w:t>
      </w:r>
      <w:r>
        <w:rPr>
          <w:rFonts w:ascii="Calibri" w:eastAsia="Calibri" w:hAnsi="Calibri" w:cs="Calibri"/>
          <w:sz w:val="22"/>
          <w:szCs w:val="22"/>
        </w:rPr>
        <w:t>.</w:t>
      </w:r>
    </w:p>
    <w:p w:rsidR="00A22F56" w:rsidRDefault="00A22F56">
      <w:pPr>
        <w:spacing w:line="240" w:lineRule="auto"/>
        <w:ind w:left="0" w:hanging="2"/>
        <w:jc w:val="both"/>
        <w:rPr>
          <w:rFonts w:ascii="Calibri" w:eastAsia="Calibri" w:hAnsi="Calibri" w:cs="Calibri"/>
          <w:b/>
          <w:sz w:val="20"/>
          <w:szCs w:val="20"/>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The auditor shall provide a written report in accordance with the applicable sections of the Statements on Standards for Attestation Engagements and </w:t>
      </w:r>
      <w:r>
        <w:rPr>
          <w:rFonts w:ascii="Calibri" w:eastAsia="Calibri" w:hAnsi="Calibri" w:cs="Calibri"/>
          <w:i/>
          <w:sz w:val="22"/>
          <w:szCs w:val="22"/>
        </w:rPr>
        <w:t xml:space="preserve">Government Auditing Standards, </w:t>
      </w:r>
      <w:r>
        <w:rPr>
          <w:rFonts w:ascii="Calibri" w:eastAsia="Calibri" w:hAnsi="Calibri" w:cs="Calibri"/>
          <w:sz w:val="22"/>
          <w:szCs w:val="22"/>
        </w:rPr>
        <w:t xml:space="preserve">as highlighted above.  </w:t>
      </w:r>
    </w:p>
    <w:p w:rsidR="00A22F56" w:rsidRDefault="00A22F56">
      <w:pPr>
        <w:spacing w:line="240" w:lineRule="auto"/>
        <w:ind w:left="0" w:hanging="2"/>
        <w:jc w:val="both"/>
        <w:rPr>
          <w:rFonts w:ascii="Calibri" w:eastAsia="Calibri" w:hAnsi="Calibri" w:cs="Calibri"/>
          <w:sz w:val="20"/>
          <w:szCs w:val="20"/>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Refer to Exhibit 1 for the agreed-upon procedures and the format for reporting the procedures performed and results of testing.</w:t>
      </w:r>
    </w:p>
    <w:p w:rsidR="00A22F56" w:rsidRDefault="00A22F56">
      <w:pPr>
        <w:spacing w:line="240" w:lineRule="auto"/>
        <w:ind w:left="0" w:hanging="2"/>
        <w:jc w:val="both"/>
        <w:rPr>
          <w:rFonts w:ascii="Calibri" w:eastAsia="Calibri" w:hAnsi="Calibri" w:cs="Calibri"/>
          <w:sz w:val="20"/>
          <w:szCs w:val="20"/>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Additionally, any noncompliance with UCOA requirements and the effectiveness of the entity’s internal control over compliance with UCOA requirements should be considered in drafting the </w:t>
      </w:r>
      <w:r>
        <w:rPr>
          <w:rFonts w:ascii="Calibri" w:eastAsia="Calibri" w:hAnsi="Calibri" w:cs="Calibri"/>
          <w:sz w:val="22"/>
          <w:szCs w:val="22"/>
          <w:u w:val="single"/>
        </w:rPr>
        <w:t>Independent Auditor’s Report on Internal Control Over Financial Report</w:t>
      </w:r>
      <w:r>
        <w:rPr>
          <w:rFonts w:ascii="Calibri" w:eastAsia="Calibri" w:hAnsi="Calibri" w:cs="Calibri"/>
          <w:sz w:val="22"/>
          <w:szCs w:val="22"/>
          <w:u w:val="single"/>
        </w:rPr>
        <w:t xml:space="preserve">ing and On Compliance and Other Matters Based on an Audit of Financial Statements Performed in Accordance with </w:t>
      </w:r>
      <w:r>
        <w:rPr>
          <w:rFonts w:ascii="Calibri" w:eastAsia="Calibri" w:hAnsi="Calibri" w:cs="Calibri"/>
          <w:i/>
          <w:sz w:val="22"/>
          <w:szCs w:val="22"/>
          <w:u w:val="single"/>
        </w:rPr>
        <w:t>Government Auditing Standards</w:t>
      </w:r>
      <w:r>
        <w:rPr>
          <w:rFonts w:ascii="Calibri" w:eastAsia="Calibri" w:hAnsi="Calibri" w:cs="Calibri"/>
          <w:sz w:val="22"/>
          <w:szCs w:val="22"/>
        </w:rPr>
        <w:t xml:space="preserve">. </w:t>
      </w:r>
    </w:p>
    <w:p w:rsidR="00A22F56" w:rsidRDefault="00A22F56">
      <w:pPr>
        <w:spacing w:line="240" w:lineRule="auto"/>
        <w:ind w:left="0" w:hanging="2"/>
        <w:jc w:val="both"/>
        <w:rPr>
          <w:rFonts w:ascii="Calibri" w:eastAsia="Calibri" w:hAnsi="Calibri" w:cs="Calibri"/>
          <w:sz w:val="20"/>
          <w:szCs w:val="20"/>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Management comments provided to the entity should be inclusive of any recommendations to improve compliance or c</w:t>
      </w:r>
      <w:r>
        <w:rPr>
          <w:rFonts w:ascii="Calibri" w:eastAsia="Calibri" w:hAnsi="Calibri" w:cs="Calibri"/>
          <w:sz w:val="22"/>
          <w:szCs w:val="22"/>
        </w:rPr>
        <w:t xml:space="preserve">ontrols over compliance with UCOA requirements. </w:t>
      </w:r>
    </w:p>
    <w:p w:rsidR="00A22F56" w:rsidRDefault="00A22F56">
      <w:pPr>
        <w:spacing w:line="240" w:lineRule="auto"/>
        <w:ind w:left="0" w:hanging="2"/>
        <w:jc w:val="both"/>
        <w:rPr>
          <w:rFonts w:ascii="Calibri" w:eastAsia="Calibri" w:hAnsi="Calibri" w:cs="Calibri"/>
          <w:sz w:val="20"/>
          <w:szCs w:val="20"/>
        </w:rPr>
      </w:pPr>
    </w:p>
    <w:p w:rsidR="00A22F56" w:rsidRDefault="00506037">
      <w:pPr>
        <w:pBdr>
          <w:top w:val="single" w:sz="4" w:space="1" w:color="000000"/>
          <w:left w:val="single" w:sz="4" w:space="4" w:color="000000"/>
          <w:bottom w:val="single" w:sz="4" w:space="1" w:color="000000"/>
          <w:right w:val="single" w:sz="4" w:space="4" w:color="000000"/>
        </w:pBdr>
        <w:spacing w:line="240" w:lineRule="auto"/>
        <w:ind w:left="0" w:hanging="2"/>
        <w:jc w:val="both"/>
        <w:rPr>
          <w:rFonts w:ascii="Arial Narrow" w:eastAsia="Arial Narrow" w:hAnsi="Arial Narrow" w:cs="Arial Narrow"/>
          <w:b/>
          <w:sz w:val="22"/>
          <w:szCs w:val="22"/>
          <w:u w:val="single"/>
        </w:rPr>
      </w:pPr>
      <w:r>
        <w:rPr>
          <w:rFonts w:ascii="Arial Narrow" w:eastAsia="Arial Narrow" w:hAnsi="Arial Narrow" w:cs="Arial Narrow"/>
          <w:b/>
          <w:sz w:val="22"/>
          <w:szCs w:val="22"/>
          <w:u w:val="single"/>
        </w:rPr>
        <w:t xml:space="preserve">Independent Accountant’s Report on Applying Agreed-Upon Procedures - </w:t>
      </w:r>
      <w:r>
        <w:rPr>
          <w:rFonts w:ascii="Arial Narrow" w:eastAsia="Arial Narrow" w:hAnsi="Arial Narrow" w:cs="Arial Narrow"/>
          <w:b/>
          <w:color w:val="000000"/>
          <w:sz w:val="22"/>
          <w:szCs w:val="22"/>
          <w:u w:val="single"/>
        </w:rPr>
        <w:t>SAMPLE REPORT</w:t>
      </w:r>
      <w:r>
        <w:rPr>
          <w:rFonts w:ascii="Arial Narrow" w:eastAsia="Arial Narrow" w:hAnsi="Arial Narrow" w:cs="Arial Narrow"/>
          <w:b/>
          <w:color w:val="000000"/>
          <w:sz w:val="22"/>
          <w:szCs w:val="22"/>
        </w:rPr>
        <w:t xml:space="preserve"> **</w:t>
      </w:r>
    </w:p>
    <w:p w:rsidR="00A22F56" w:rsidRDefault="00A22F56">
      <w:pPr>
        <w:pBdr>
          <w:top w:val="single" w:sz="4" w:space="1" w:color="000000"/>
          <w:left w:val="single" w:sz="4" w:space="4" w:color="000000"/>
          <w:bottom w:val="single" w:sz="4" w:space="1" w:color="000000"/>
          <w:right w:val="single" w:sz="4" w:space="4" w:color="000000"/>
        </w:pBdr>
        <w:spacing w:line="240" w:lineRule="auto"/>
        <w:ind w:left="0" w:hanging="2"/>
        <w:jc w:val="both"/>
        <w:rPr>
          <w:rFonts w:ascii="Arial Narrow" w:eastAsia="Arial Narrow" w:hAnsi="Arial Narrow" w:cs="Arial Narrow"/>
          <w:b/>
          <w:sz w:val="20"/>
          <w:szCs w:val="20"/>
          <w:u w:val="single"/>
        </w:rPr>
      </w:pPr>
    </w:p>
    <w:p w:rsidR="00A22F56" w:rsidRDefault="00506037">
      <w:pPr>
        <w:pBdr>
          <w:top w:val="single" w:sz="4" w:space="1" w:color="000000"/>
          <w:left w:val="single" w:sz="4" w:space="4" w:color="000000"/>
          <w:bottom w:val="single" w:sz="4" w:space="1" w:color="000000"/>
          <w:right w:val="single" w:sz="4" w:space="4" w:color="000000"/>
        </w:pBdr>
        <w:spacing w:line="240" w:lineRule="auto"/>
        <w:ind w:left="0" w:hanging="2"/>
        <w:jc w:val="both"/>
        <w:rPr>
          <w:rFonts w:ascii="Arial Narrow" w:eastAsia="Arial Narrow" w:hAnsi="Arial Narrow" w:cs="Arial Narrow"/>
          <w:sz w:val="22"/>
          <w:szCs w:val="22"/>
        </w:rPr>
      </w:pPr>
      <w:r>
        <w:rPr>
          <w:rFonts w:ascii="Arial Narrow" w:eastAsia="Arial Narrow" w:hAnsi="Arial Narrow" w:cs="Arial Narrow"/>
          <w:sz w:val="22"/>
          <w:szCs w:val="22"/>
        </w:rPr>
        <w:t>We have performed the procedures enumerated in Exhibit 1, which were agreed to by the Rhode Island Department of Education (RIDE) and the Rhode Island Office of the Auditor General, related to (name of entity)’s compliance with the Uniform Chart of Account</w:t>
      </w:r>
      <w:r>
        <w:rPr>
          <w:rFonts w:ascii="Arial Narrow" w:eastAsia="Arial Narrow" w:hAnsi="Arial Narrow" w:cs="Arial Narrow"/>
          <w:sz w:val="22"/>
          <w:szCs w:val="22"/>
        </w:rPr>
        <w:t>s during the fiscal year ended June 30, 20xx and the (entity’s) internal control over compliance with the aforementioned compliance requirements as of June 30, 20xx.  The (entity’s) management is responsible for its compliance and internal control over com</w:t>
      </w:r>
      <w:r>
        <w:rPr>
          <w:rFonts w:ascii="Arial Narrow" w:eastAsia="Arial Narrow" w:hAnsi="Arial Narrow" w:cs="Arial Narrow"/>
          <w:sz w:val="22"/>
          <w:szCs w:val="22"/>
        </w:rPr>
        <w:t>pliance with those requirements.  The sufficiency of these procedures is solely the responsibility of those parties specified in this report.  Consequently, we make no representation regarding the sufficiency of the procedures described in Exhibit 1 either</w:t>
      </w:r>
      <w:r>
        <w:rPr>
          <w:rFonts w:ascii="Arial Narrow" w:eastAsia="Arial Narrow" w:hAnsi="Arial Narrow" w:cs="Arial Narrow"/>
          <w:sz w:val="22"/>
          <w:szCs w:val="22"/>
        </w:rPr>
        <w:t xml:space="preserve"> for the purpose for which this report has been requested or for any other purpose.</w:t>
      </w:r>
    </w:p>
    <w:p w:rsidR="00A22F56" w:rsidRDefault="00A22F56">
      <w:pPr>
        <w:pBdr>
          <w:top w:val="single" w:sz="4" w:space="1" w:color="000000"/>
          <w:left w:val="single" w:sz="4" w:space="4" w:color="000000"/>
          <w:bottom w:val="single" w:sz="4" w:space="1" w:color="000000"/>
          <w:right w:val="single" w:sz="4" w:space="4" w:color="000000"/>
        </w:pBdr>
        <w:spacing w:line="240" w:lineRule="auto"/>
        <w:ind w:left="0" w:hanging="2"/>
        <w:jc w:val="both"/>
        <w:rPr>
          <w:rFonts w:ascii="Arial Narrow" w:eastAsia="Arial Narrow" w:hAnsi="Arial Narrow" w:cs="Arial Narrow"/>
          <w:sz w:val="20"/>
          <w:szCs w:val="20"/>
        </w:rPr>
      </w:pPr>
    </w:p>
    <w:p w:rsidR="00A22F56" w:rsidRDefault="00506037">
      <w:pPr>
        <w:pBdr>
          <w:top w:val="single" w:sz="4" w:space="1" w:color="000000"/>
          <w:left w:val="single" w:sz="4" w:space="4" w:color="000000"/>
          <w:bottom w:val="single" w:sz="4" w:space="1" w:color="000000"/>
          <w:right w:val="single" w:sz="4" w:space="4" w:color="000000"/>
        </w:pBdr>
        <w:spacing w:line="240" w:lineRule="auto"/>
        <w:ind w:left="0" w:hanging="2"/>
        <w:jc w:val="both"/>
        <w:rPr>
          <w:rFonts w:ascii="Arial Narrow" w:eastAsia="Arial Narrow" w:hAnsi="Arial Narrow" w:cs="Arial Narrow"/>
          <w:sz w:val="22"/>
          <w:szCs w:val="22"/>
        </w:rPr>
      </w:pPr>
      <w:r>
        <w:rPr>
          <w:rFonts w:ascii="Arial Narrow" w:eastAsia="Arial Narrow" w:hAnsi="Arial Narrow" w:cs="Arial Narrow"/>
          <w:sz w:val="22"/>
          <w:szCs w:val="22"/>
        </w:rPr>
        <w:t xml:space="preserve"> </w:t>
      </w:r>
      <w:r>
        <w:rPr>
          <w:rFonts w:ascii="Arial Narrow" w:eastAsia="Arial Narrow" w:hAnsi="Arial Narrow" w:cs="Arial Narrow"/>
          <w:sz w:val="22"/>
          <w:szCs w:val="22"/>
        </w:rPr>
        <w:tab/>
      </w:r>
      <w:r>
        <w:rPr>
          <w:rFonts w:ascii="Arial Narrow" w:eastAsia="Arial Narrow" w:hAnsi="Arial Narrow" w:cs="Arial Narrow"/>
          <w:sz w:val="22"/>
          <w:szCs w:val="22"/>
        </w:rPr>
        <w:t xml:space="preserve">This agreed-upon procedures engagement was conducted in accordance with attestation standards established by the American Institute of Certified Public Accountants and the standards applicable to agreed-upon procedures engagements contained in </w:t>
      </w:r>
      <w:r>
        <w:rPr>
          <w:rFonts w:ascii="Arial Narrow" w:eastAsia="Arial Narrow" w:hAnsi="Arial Narrow" w:cs="Arial Narrow"/>
          <w:i/>
          <w:sz w:val="22"/>
          <w:szCs w:val="22"/>
        </w:rPr>
        <w:t>Government A</w:t>
      </w:r>
      <w:r>
        <w:rPr>
          <w:rFonts w:ascii="Arial Narrow" w:eastAsia="Arial Narrow" w:hAnsi="Arial Narrow" w:cs="Arial Narrow"/>
          <w:i/>
          <w:sz w:val="22"/>
          <w:szCs w:val="22"/>
        </w:rPr>
        <w:t>uditing Standards</w:t>
      </w:r>
      <w:r>
        <w:rPr>
          <w:rFonts w:ascii="Arial Narrow" w:eastAsia="Arial Narrow" w:hAnsi="Arial Narrow" w:cs="Arial Narrow"/>
          <w:sz w:val="22"/>
          <w:szCs w:val="22"/>
        </w:rPr>
        <w:t>, issued by the Comptroller General of the United States.  We were not engaged to and did not conduct an examination or review, the objective of which would be the expression of an opinion or conclusion, respectively, on compliance and int</w:t>
      </w:r>
      <w:r>
        <w:rPr>
          <w:rFonts w:ascii="Arial Narrow" w:eastAsia="Arial Narrow" w:hAnsi="Arial Narrow" w:cs="Arial Narrow"/>
          <w:sz w:val="22"/>
          <w:szCs w:val="22"/>
        </w:rPr>
        <w:t>ernal control over compliance with specified requirements.  Accordingly, we do not express such an opinion or conclusion.  Had we performed additional procedures, other matters might have come to our attention that would have been reported to you.</w:t>
      </w:r>
    </w:p>
    <w:p w:rsidR="00A22F56" w:rsidRDefault="00A22F56">
      <w:pPr>
        <w:pBdr>
          <w:top w:val="single" w:sz="4" w:space="1" w:color="000000"/>
          <w:left w:val="single" w:sz="4" w:space="4" w:color="000000"/>
          <w:bottom w:val="single" w:sz="4" w:space="1" w:color="000000"/>
          <w:right w:val="single" w:sz="4" w:space="4" w:color="000000"/>
        </w:pBdr>
        <w:spacing w:line="240" w:lineRule="auto"/>
        <w:ind w:left="0" w:hanging="2"/>
        <w:jc w:val="both"/>
        <w:rPr>
          <w:rFonts w:ascii="Arial Narrow" w:eastAsia="Arial Narrow" w:hAnsi="Arial Narrow" w:cs="Arial Narrow"/>
          <w:sz w:val="20"/>
          <w:szCs w:val="20"/>
        </w:rPr>
      </w:pPr>
    </w:p>
    <w:p w:rsidR="00A22F56" w:rsidRDefault="00506037">
      <w:pPr>
        <w:pBdr>
          <w:top w:val="single" w:sz="4" w:space="1" w:color="000000"/>
          <w:left w:val="single" w:sz="4" w:space="4" w:color="000000"/>
          <w:bottom w:val="single" w:sz="4" w:space="1" w:color="000000"/>
          <w:right w:val="single" w:sz="4" w:space="4" w:color="000000"/>
        </w:pBdr>
        <w:spacing w:line="240" w:lineRule="auto"/>
        <w:ind w:left="0" w:hanging="2"/>
        <w:jc w:val="both"/>
        <w:rPr>
          <w:rFonts w:ascii="Calibri" w:eastAsia="Calibri" w:hAnsi="Calibri" w:cs="Calibri"/>
          <w:sz w:val="20"/>
          <w:szCs w:val="20"/>
        </w:rPr>
      </w:pPr>
      <w:r>
        <w:rPr>
          <w:rFonts w:ascii="Arial Narrow" w:eastAsia="Arial Narrow" w:hAnsi="Arial Narrow" w:cs="Arial Narrow"/>
          <w:sz w:val="22"/>
          <w:szCs w:val="22"/>
        </w:rPr>
        <w:t>This re</w:t>
      </w:r>
      <w:r>
        <w:rPr>
          <w:rFonts w:ascii="Arial Narrow" w:eastAsia="Arial Narrow" w:hAnsi="Arial Narrow" w:cs="Arial Narrow"/>
          <w:sz w:val="22"/>
          <w:szCs w:val="22"/>
        </w:rPr>
        <w:t xml:space="preserve">port is intended solely for the information and use of the Rhode Island Department of Education, the </w:t>
      </w:r>
      <w:r>
        <w:rPr>
          <w:rFonts w:ascii="Arial Narrow" w:eastAsia="Arial Narrow" w:hAnsi="Arial Narrow" w:cs="Arial Narrow"/>
          <w:i/>
          <w:sz w:val="22"/>
          <w:szCs w:val="22"/>
        </w:rPr>
        <w:t>Entity</w:t>
      </w:r>
      <w:r>
        <w:rPr>
          <w:rFonts w:ascii="Arial Narrow" w:eastAsia="Arial Narrow" w:hAnsi="Arial Narrow" w:cs="Arial Narrow"/>
          <w:sz w:val="22"/>
          <w:szCs w:val="22"/>
        </w:rPr>
        <w:t>, and the Office of the Auditor General and is not intended to be and should not be used by anyone other than these specified parties.</w:t>
      </w:r>
      <w:r>
        <w:rPr>
          <w:rFonts w:ascii="Calibri" w:eastAsia="Calibri" w:hAnsi="Calibri" w:cs="Calibri"/>
          <w:sz w:val="20"/>
          <w:szCs w:val="20"/>
        </w:rPr>
        <w:t xml:space="preserve"> </w:t>
      </w:r>
    </w:p>
    <w:p w:rsidR="00A22F56" w:rsidRDefault="00A22F56">
      <w:pPr>
        <w:spacing w:line="240" w:lineRule="auto"/>
        <w:ind w:left="0" w:hanging="2"/>
        <w:rPr>
          <w:rFonts w:ascii="Arial Narrow" w:eastAsia="Arial Narrow" w:hAnsi="Arial Narrow" w:cs="Arial Narrow"/>
          <w:sz w:val="16"/>
          <w:szCs w:val="16"/>
        </w:rPr>
      </w:pPr>
    </w:p>
    <w:p w:rsidR="00A22F56" w:rsidRDefault="00506037">
      <w:pPr>
        <w:spacing w:line="240" w:lineRule="auto"/>
        <w:ind w:left="0" w:hanging="2"/>
        <w:rPr>
          <w:rFonts w:ascii="Arial Narrow" w:eastAsia="Arial Narrow" w:hAnsi="Arial Narrow" w:cs="Arial Narrow"/>
          <w:sz w:val="22"/>
          <w:szCs w:val="22"/>
        </w:rPr>
      </w:pPr>
      <w:r>
        <w:rPr>
          <w:rFonts w:ascii="Arial Narrow" w:eastAsia="Arial Narrow" w:hAnsi="Arial Narrow" w:cs="Arial Narrow"/>
          <w:sz w:val="22"/>
          <w:szCs w:val="22"/>
        </w:rPr>
        <w:t>** For sampl</w:t>
      </w:r>
      <w:r>
        <w:rPr>
          <w:rFonts w:ascii="Arial Narrow" w:eastAsia="Arial Narrow" w:hAnsi="Arial Narrow" w:cs="Arial Narrow"/>
          <w:sz w:val="22"/>
          <w:szCs w:val="22"/>
        </w:rPr>
        <w:t xml:space="preserve">e Independent Accountant’s Report dated on or after July 15, 2021, refer to Exhibit in Statements on Standards for Attestation Engagements (SSAE) No. 19: </w:t>
      </w:r>
      <w:hyperlink r:id="rId14">
        <w:r>
          <w:rPr>
            <w:rFonts w:ascii="Arial Narrow" w:eastAsia="Arial Narrow" w:hAnsi="Arial Narrow" w:cs="Arial Narrow"/>
            <w:color w:val="0000FF"/>
            <w:sz w:val="22"/>
            <w:szCs w:val="22"/>
            <w:u w:val="single"/>
          </w:rPr>
          <w:t>https://www.aicpa.org/content/dam/aicpa/research/standards/auditattest/downloadabledocuments/ssae-19.pdf</w:t>
        </w:r>
      </w:hyperlink>
    </w:p>
    <w:p w:rsidR="00A22F56" w:rsidRDefault="00A22F56">
      <w:pPr>
        <w:spacing w:line="240" w:lineRule="auto"/>
        <w:ind w:left="0" w:hanging="2"/>
        <w:rPr>
          <w:rFonts w:ascii="Calibri" w:eastAsia="Calibri" w:hAnsi="Calibri" w:cs="Calibri"/>
          <w:sz w:val="22"/>
          <w:szCs w:val="22"/>
        </w:rPr>
      </w:pPr>
    </w:p>
    <w:p w:rsidR="00A22F56" w:rsidRDefault="00506037">
      <w:pPr>
        <w:shd w:val="clear" w:color="auto" w:fill="DEEAF6"/>
        <w:spacing w:line="240" w:lineRule="auto"/>
        <w:ind w:left="1" w:hanging="3"/>
        <w:jc w:val="center"/>
        <w:rPr>
          <w:rFonts w:ascii="Calibri" w:eastAsia="Calibri" w:hAnsi="Calibri" w:cs="Calibri"/>
          <w:b/>
          <w:sz w:val="28"/>
          <w:szCs w:val="28"/>
        </w:rPr>
      </w:pPr>
      <w:r>
        <w:rPr>
          <w:rFonts w:ascii="Calibri" w:eastAsia="Calibri" w:hAnsi="Calibri" w:cs="Calibri"/>
          <w:b/>
          <w:sz w:val="28"/>
          <w:szCs w:val="28"/>
        </w:rPr>
        <w:t>EXHIBIT 1 – Sample Reporting Template</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highlight w:val="lightGray"/>
        </w:rPr>
        <w:t>REQUIREMENT 1:</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lastRenderedPageBreak/>
        <w:t>A minimum sample of randomly selected expenditure transactions for the municipal school district, regional school district, collaborative, State school or charter school shall be tested for compliance with UCOA coding requirements.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PROCEDURES:</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Obtain a c</w:t>
      </w:r>
      <w:r>
        <w:rPr>
          <w:rFonts w:ascii="Calibri" w:eastAsia="Calibri" w:hAnsi="Calibri" w:cs="Calibri"/>
          <w:sz w:val="22"/>
          <w:szCs w:val="22"/>
        </w:rPr>
        <w:t>opy the school entity’s signed acknowledgment of the UCOA File Validation Totals Report received from the RI Department of Education (RIDE).  Obtain a detailed transaction level file from the school entity’s accounting system which corresponds with the fin</w:t>
      </w:r>
      <w:r>
        <w:rPr>
          <w:rFonts w:ascii="Calibri" w:eastAsia="Calibri" w:hAnsi="Calibri" w:cs="Calibri"/>
          <w:sz w:val="22"/>
          <w:szCs w:val="22"/>
        </w:rPr>
        <w:t xml:space="preserve">al UCOA upload file provided to RIDE.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Describe procedures for selecting the sample, the sample size selected, and the tests performed in accordance with the criteria outlined on pages two and three of this document.  Please note - If a preliminary fisca</w:t>
      </w:r>
      <w:r>
        <w:rPr>
          <w:rFonts w:ascii="Calibri" w:eastAsia="Calibri" w:hAnsi="Calibri" w:cs="Calibri"/>
          <w:sz w:val="22"/>
          <w:szCs w:val="22"/>
        </w:rPr>
        <w:t>l year file is used for selecting the sample, reconcile changes from the preliminary file to the final validated upload and determine the significance of any changes and assess the validity of the sample.</w:t>
      </w: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RESULTS: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Specify the date of the UCOA file teste</w:t>
      </w:r>
      <w:r>
        <w:rPr>
          <w:rFonts w:ascii="Calibri" w:eastAsia="Calibri" w:hAnsi="Calibri" w:cs="Calibri"/>
          <w:sz w:val="22"/>
          <w:szCs w:val="22"/>
        </w:rPr>
        <w:t>d: _______________________________.</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For each instance of noncompliance, enter the transaction detail in the table below.  Highlight the account number segment that is not in compliance, as shown in the example below.  Describe the purpose of each transact</w:t>
      </w:r>
      <w:r>
        <w:rPr>
          <w:rFonts w:ascii="Calibri" w:eastAsia="Calibri" w:hAnsi="Calibri" w:cs="Calibri"/>
          <w:sz w:val="22"/>
          <w:szCs w:val="22"/>
        </w:rPr>
        <w:t>ion, the error(s), and correction(s) immediately following the table.  Rows may be added or deleted from the table, as necessary.</w:t>
      </w:r>
    </w:p>
    <w:p w:rsidR="00A22F56" w:rsidRDefault="00A22F56">
      <w:pPr>
        <w:spacing w:line="240" w:lineRule="auto"/>
        <w:ind w:left="0" w:hanging="2"/>
        <w:jc w:val="both"/>
        <w:rPr>
          <w:rFonts w:ascii="Calibri" w:eastAsia="Calibri" w:hAnsi="Calibri" w:cs="Calibri"/>
          <w:sz w:val="22"/>
          <w:szCs w:val="22"/>
        </w:rPr>
      </w:pPr>
    </w:p>
    <w:tbl>
      <w:tblPr>
        <w:tblStyle w:val="a7"/>
        <w:tblW w:w="1080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1170"/>
        <w:gridCol w:w="900"/>
        <w:gridCol w:w="720"/>
        <w:gridCol w:w="630"/>
        <w:gridCol w:w="810"/>
        <w:gridCol w:w="900"/>
        <w:gridCol w:w="1080"/>
        <w:gridCol w:w="990"/>
        <w:gridCol w:w="990"/>
        <w:gridCol w:w="900"/>
        <w:gridCol w:w="1080"/>
      </w:tblGrid>
      <w:tr w:rsidR="00A22F56">
        <w:tc>
          <w:tcPr>
            <w:tcW w:w="630" w:type="dxa"/>
            <w:shd w:val="clear" w:color="auto" w:fill="C6D9F1"/>
            <w:vAlign w:val="bottom"/>
          </w:tcPr>
          <w:p w:rsidR="00A22F56" w:rsidRDefault="00506037">
            <w:pPr>
              <w:spacing w:line="240" w:lineRule="auto"/>
              <w:ind w:left="0" w:hanging="2"/>
              <w:jc w:val="center"/>
              <w:rPr>
                <w:b/>
                <w:sz w:val="18"/>
                <w:szCs w:val="18"/>
              </w:rPr>
            </w:pPr>
            <w:r>
              <w:rPr>
                <w:b/>
                <w:sz w:val="18"/>
                <w:szCs w:val="18"/>
              </w:rPr>
              <w:t>Item</w:t>
            </w:r>
          </w:p>
        </w:tc>
        <w:tc>
          <w:tcPr>
            <w:tcW w:w="1170" w:type="dxa"/>
            <w:shd w:val="clear" w:color="auto" w:fill="C6D9F1"/>
            <w:vAlign w:val="bottom"/>
          </w:tcPr>
          <w:p w:rsidR="00A22F56" w:rsidRDefault="00506037">
            <w:pPr>
              <w:spacing w:line="240" w:lineRule="auto"/>
              <w:ind w:left="0" w:hanging="2"/>
              <w:jc w:val="center"/>
              <w:rPr>
                <w:b/>
                <w:sz w:val="18"/>
                <w:szCs w:val="18"/>
              </w:rPr>
            </w:pPr>
            <w:r>
              <w:rPr>
                <w:b/>
                <w:sz w:val="18"/>
                <w:szCs w:val="18"/>
              </w:rPr>
              <w:t>Fund/ Subfund</w:t>
            </w:r>
          </w:p>
        </w:tc>
        <w:tc>
          <w:tcPr>
            <w:tcW w:w="900" w:type="dxa"/>
            <w:shd w:val="clear" w:color="auto" w:fill="C6D9F1"/>
            <w:vAlign w:val="bottom"/>
          </w:tcPr>
          <w:p w:rsidR="00A22F56" w:rsidRDefault="00506037">
            <w:pPr>
              <w:spacing w:line="240" w:lineRule="auto"/>
              <w:ind w:left="0" w:hanging="2"/>
              <w:jc w:val="center"/>
              <w:rPr>
                <w:b/>
                <w:sz w:val="18"/>
                <w:szCs w:val="18"/>
              </w:rPr>
            </w:pPr>
            <w:r>
              <w:rPr>
                <w:b/>
                <w:sz w:val="18"/>
                <w:szCs w:val="18"/>
              </w:rPr>
              <w:t>Location</w:t>
            </w:r>
          </w:p>
        </w:tc>
        <w:tc>
          <w:tcPr>
            <w:tcW w:w="720" w:type="dxa"/>
            <w:shd w:val="clear" w:color="auto" w:fill="C6D9F1"/>
            <w:vAlign w:val="bottom"/>
          </w:tcPr>
          <w:p w:rsidR="00A22F56" w:rsidRDefault="00506037">
            <w:pPr>
              <w:spacing w:line="240" w:lineRule="auto"/>
              <w:ind w:left="0" w:hanging="2"/>
              <w:jc w:val="center"/>
              <w:rPr>
                <w:b/>
                <w:sz w:val="18"/>
                <w:szCs w:val="18"/>
              </w:rPr>
            </w:pPr>
            <w:r>
              <w:rPr>
                <w:b/>
                <w:sz w:val="18"/>
                <w:szCs w:val="18"/>
              </w:rPr>
              <w:t>Func</w:t>
            </w:r>
          </w:p>
        </w:tc>
        <w:tc>
          <w:tcPr>
            <w:tcW w:w="630" w:type="dxa"/>
            <w:shd w:val="clear" w:color="auto" w:fill="C6D9F1"/>
            <w:vAlign w:val="bottom"/>
          </w:tcPr>
          <w:p w:rsidR="00A22F56" w:rsidRDefault="00506037">
            <w:pPr>
              <w:spacing w:line="240" w:lineRule="auto"/>
              <w:ind w:left="0" w:hanging="2"/>
              <w:jc w:val="center"/>
              <w:rPr>
                <w:b/>
                <w:sz w:val="18"/>
                <w:szCs w:val="18"/>
              </w:rPr>
            </w:pPr>
            <w:r>
              <w:rPr>
                <w:b/>
                <w:sz w:val="18"/>
                <w:szCs w:val="18"/>
              </w:rPr>
              <w:t>Prog</w:t>
            </w:r>
          </w:p>
        </w:tc>
        <w:tc>
          <w:tcPr>
            <w:tcW w:w="810" w:type="dxa"/>
            <w:shd w:val="clear" w:color="auto" w:fill="C6D9F1"/>
            <w:vAlign w:val="bottom"/>
          </w:tcPr>
          <w:p w:rsidR="00A22F56" w:rsidRDefault="00506037">
            <w:pPr>
              <w:spacing w:line="240" w:lineRule="auto"/>
              <w:ind w:left="0" w:hanging="2"/>
              <w:jc w:val="center"/>
              <w:rPr>
                <w:b/>
                <w:sz w:val="18"/>
                <w:szCs w:val="18"/>
              </w:rPr>
            </w:pPr>
            <w:r>
              <w:rPr>
                <w:b/>
                <w:sz w:val="18"/>
                <w:szCs w:val="18"/>
              </w:rPr>
              <w:t>Subject</w:t>
            </w:r>
          </w:p>
        </w:tc>
        <w:tc>
          <w:tcPr>
            <w:tcW w:w="900" w:type="dxa"/>
            <w:shd w:val="clear" w:color="auto" w:fill="C6D9F1"/>
            <w:vAlign w:val="bottom"/>
          </w:tcPr>
          <w:p w:rsidR="00A22F56" w:rsidRDefault="00506037">
            <w:pPr>
              <w:spacing w:line="240" w:lineRule="auto"/>
              <w:ind w:left="0" w:hanging="2"/>
              <w:jc w:val="center"/>
              <w:rPr>
                <w:b/>
                <w:sz w:val="18"/>
                <w:szCs w:val="18"/>
              </w:rPr>
            </w:pPr>
            <w:r>
              <w:rPr>
                <w:b/>
                <w:sz w:val="18"/>
                <w:szCs w:val="18"/>
              </w:rPr>
              <w:t>Object</w:t>
            </w:r>
          </w:p>
        </w:tc>
        <w:tc>
          <w:tcPr>
            <w:tcW w:w="1080" w:type="dxa"/>
            <w:shd w:val="clear" w:color="auto" w:fill="C6D9F1"/>
            <w:vAlign w:val="bottom"/>
          </w:tcPr>
          <w:p w:rsidR="00A22F56" w:rsidRDefault="00506037">
            <w:pPr>
              <w:spacing w:line="240" w:lineRule="auto"/>
              <w:ind w:left="0" w:hanging="2"/>
              <w:jc w:val="center"/>
              <w:rPr>
                <w:b/>
                <w:sz w:val="18"/>
                <w:szCs w:val="18"/>
              </w:rPr>
            </w:pPr>
            <w:r>
              <w:rPr>
                <w:b/>
                <w:sz w:val="18"/>
                <w:szCs w:val="18"/>
              </w:rPr>
              <w:t>Job Class  (personnel costs only)</w:t>
            </w:r>
          </w:p>
        </w:tc>
        <w:tc>
          <w:tcPr>
            <w:tcW w:w="990" w:type="dxa"/>
            <w:shd w:val="clear" w:color="auto" w:fill="C6D9F1"/>
            <w:vAlign w:val="bottom"/>
          </w:tcPr>
          <w:p w:rsidR="00A22F56" w:rsidRDefault="00506037">
            <w:pPr>
              <w:spacing w:line="240" w:lineRule="auto"/>
              <w:ind w:left="0" w:hanging="2"/>
              <w:jc w:val="center"/>
              <w:rPr>
                <w:b/>
                <w:sz w:val="18"/>
                <w:szCs w:val="18"/>
              </w:rPr>
            </w:pPr>
            <w:r>
              <w:rPr>
                <w:b/>
                <w:sz w:val="18"/>
                <w:szCs w:val="18"/>
              </w:rPr>
              <w:t>Date</w:t>
            </w:r>
          </w:p>
        </w:tc>
        <w:tc>
          <w:tcPr>
            <w:tcW w:w="990" w:type="dxa"/>
            <w:shd w:val="clear" w:color="auto" w:fill="C6D9F1"/>
            <w:vAlign w:val="bottom"/>
          </w:tcPr>
          <w:p w:rsidR="00A22F56" w:rsidRDefault="00506037">
            <w:pPr>
              <w:spacing w:line="240" w:lineRule="auto"/>
              <w:ind w:left="0" w:hanging="2"/>
              <w:jc w:val="center"/>
              <w:rPr>
                <w:b/>
                <w:sz w:val="18"/>
                <w:szCs w:val="18"/>
              </w:rPr>
            </w:pPr>
            <w:r>
              <w:rPr>
                <w:b/>
                <w:sz w:val="18"/>
                <w:szCs w:val="18"/>
              </w:rPr>
              <w:t>Payee</w:t>
            </w:r>
          </w:p>
        </w:tc>
        <w:tc>
          <w:tcPr>
            <w:tcW w:w="900" w:type="dxa"/>
            <w:shd w:val="clear" w:color="auto" w:fill="C6D9F1"/>
            <w:vAlign w:val="bottom"/>
          </w:tcPr>
          <w:p w:rsidR="00A22F56" w:rsidRDefault="00506037">
            <w:pPr>
              <w:spacing w:line="240" w:lineRule="auto"/>
              <w:ind w:left="0" w:hanging="2"/>
              <w:jc w:val="center"/>
              <w:rPr>
                <w:b/>
                <w:sz w:val="18"/>
                <w:szCs w:val="18"/>
              </w:rPr>
            </w:pPr>
            <w:r>
              <w:rPr>
                <w:b/>
                <w:sz w:val="18"/>
                <w:szCs w:val="18"/>
              </w:rPr>
              <w:t>Amt</w:t>
            </w:r>
          </w:p>
        </w:tc>
        <w:tc>
          <w:tcPr>
            <w:tcW w:w="1080" w:type="dxa"/>
            <w:shd w:val="clear" w:color="auto" w:fill="C6D9F1"/>
            <w:vAlign w:val="bottom"/>
          </w:tcPr>
          <w:p w:rsidR="00A22F56" w:rsidRDefault="00506037">
            <w:pPr>
              <w:spacing w:line="240" w:lineRule="auto"/>
              <w:ind w:left="0" w:hanging="2"/>
              <w:jc w:val="center"/>
              <w:rPr>
                <w:b/>
                <w:sz w:val="18"/>
                <w:szCs w:val="18"/>
              </w:rPr>
            </w:pPr>
            <w:r>
              <w:rPr>
                <w:b/>
                <w:sz w:val="18"/>
                <w:szCs w:val="18"/>
              </w:rPr>
              <w:t>Corrected per final UCOA file</w:t>
            </w:r>
          </w:p>
        </w:tc>
      </w:tr>
      <w:tr w:rsidR="00A22F56">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b/>
                <w:color w:val="000000"/>
                <w:sz w:val="16"/>
                <w:szCs w:val="16"/>
              </w:rPr>
            </w:pPr>
            <w:r>
              <w:rPr>
                <w:b/>
                <w:color w:val="000000"/>
                <w:sz w:val="16"/>
                <w:szCs w:val="16"/>
              </w:rPr>
              <w:t>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10000000</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05105</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Pr>
          <w:p w:rsidR="00A22F56" w:rsidRDefault="00506037">
            <w:pPr>
              <w:spacing w:line="240" w:lineRule="auto"/>
              <w:ind w:left="0" w:hanging="2"/>
              <w:jc w:val="center"/>
              <w:rPr>
                <w:color w:val="000000"/>
                <w:sz w:val="16"/>
                <w:szCs w:val="16"/>
              </w:rPr>
            </w:pPr>
            <w:r>
              <w:rPr>
                <w:color w:val="000000"/>
                <w:sz w:val="16"/>
                <w:szCs w:val="16"/>
              </w:rPr>
              <w:t>214</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10</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2500</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51110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1712</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03/15/12</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rPr>
                <w:color w:val="000000"/>
                <w:sz w:val="16"/>
                <w:szCs w:val="16"/>
              </w:rPr>
            </w:pPr>
            <w:r>
              <w:rPr>
                <w:color w:val="000000"/>
                <w:sz w:val="16"/>
                <w:szCs w:val="16"/>
              </w:rPr>
              <w:t>Nurse Employees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both"/>
              <w:rPr>
                <w:color w:val="000000"/>
                <w:sz w:val="16"/>
                <w:szCs w:val="16"/>
              </w:rPr>
            </w:pPr>
            <w:r>
              <w:rPr>
                <w:color w:val="000000"/>
                <w:sz w:val="16"/>
                <w:szCs w:val="16"/>
              </w:rPr>
              <w:t>$5,000.00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A22F56" w:rsidRDefault="00506037">
            <w:pPr>
              <w:spacing w:line="240" w:lineRule="auto"/>
              <w:ind w:left="0" w:hanging="2"/>
              <w:jc w:val="center"/>
              <w:rPr>
                <w:color w:val="000000"/>
                <w:sz w:val="16"/>
                <w:szCs w:val="16"/>
              </w:rPr>
            </w:pPr>
            <w:r>
              <w:rPr>
                <w:color w:val="000000"/>
                <w:sz w:val="16"/>
                <w:szCs w:val="16"/>
              </w:rPr>
              <w:t>Yes</w:t>
            </w:r>
          </w:p>
        </w:tc>
      </w:tr>
      <w:tr w:rsidR="00A22F56">
        <w:tc>
          <w:tcPr>
            <w:tcW w:w="630" w:type="dxa"/>
            <w:shd w:val="clear" w:color="auto" w:fill="auto"/>
          </w:tcPr>
          <w:p w:rsidR="00A22F56" w:rsidRDefault="00506037">
            <w:pPr>
              <w:spacing w:line="240" w:lineRule="auto"/>
              <w:ind w:left="0" w:hanging="2"/>
              <w:jc w:val="center"/>
              <w:rPr>
                <w:b/>
                <w:sz w:val="16"/>
                <w:szCs w:val="16"/>
              </w:rPr>
            </w:pPr>
            <w:r>
              <w:rPr>
                <w:b/>
                <w:sz w:val="16"/>
                <w:szCs w:val="16"/>
              </w:rPr>
              <w:t>B</w:t>
            </w:r>
          </w:p>
        </w:tc>
        <w:tc>
          <w:tcPr>
            <w:tcW w:w="1170" w:type="dxa"/>
            <w:shd w:val="clear" w:color="auto" w:fill="auto"/>
          </w:tcPr>
          <w:p w:rsidR="00A22F56" w:rsidRDefault="00506037">
            <w:pPr>
              <w:spacing w:line="240" w:lineRule="auto"/>
              <w:ind w:left="0" w:hanging="2"/>
              <w:jc w:val="center"/>
              <w:rPr>
                <w:sz w:val="16"/>
                <w:szCs w:val="16"/>
              </w:rPr>
            </w:pPr>
            <w:r>
              <w:rPr>
                <w:sz w:val="16"/>
                <w:szCs w:val="16"/>
              </w:rPr>
              <w:t>XXXXXXXX</w:t>
            </w:r>
          </w:p>
        </w:tc>
        <w:tc>
          <w:tcPr>
            <w:tcW w:w="900" w:type="dxa"/>
            <w:shd w:val="clear" w:color="auto" w:fill="auto"/>
          </w:tcPr>
          <w:p w:rsidR="00A22F56" w:rsidRDefault="00506037">
            <w:pPr>
              <w:spacing w:line="240" w:lineRule="auto"/>
              <w:ind w:left="0" w:hanging="2"/>
              <w:jc w:val="center"/>
              <w:rPr>
                <w:sz w:val="16"/>
                <w:szCs w:val="16"/>
              </w:rPr>
            </w:pPr>
            <w:r>
              <w:rPr>
                <w:sz w:val="16"/>
                <w:szCs w:val="16"/>
              </w:rPr>
              <w:t>XXXXX</w:t>
            </w:r>
          </w:p>
        </w:tc>
        <w:tc>
          <w:tcPr>
            <w:tcW w:w="720" w:type="dxa"/>
            <w:shd w:val="clear" w:color="auto" w:fill="auto"/>
          </w:tcPr>
          <w:p w:rsidR="00A22F56" w:rsidRDefault="00506037">
            <w:pPr>
              <w:spacing w:line="240" w:lineRule="auto"/>
              <w:ind w:left="0" w:hanging="2"/>
              <w:jc w:val="center"/>
              <w:rPr>
                <w:sz w:val="16"/>
                <w:szCs w:val="16"/>
              </w:rPr>
            </w:pPr>
            <w:r>
              <w:rPr>
                <w:sz w:val="16"/>
                <w:szCs w:val="16"/>
              </w:rPr>
              <w:t>XXX</w:t>
            </w:r>
          </w:p>
        </w:tc>
        <w:tc>
          <w:tcPr>
            <w:tcW w:w="630" w:type="dxa"/>
            <w:shd w:val="clear" w:color="auto" w:fill="auto"/>
          </w:tcPr>
          <w:p w:rsidR="00A22F56" w:rsidRDefault="00506037">
            <w:pPr>
              <w:spacing w:line="240" w:lineRule="auto"/>
              <w:ind w:left="0" w:hanging="2"/>
              <w:jc w:val="center"/>
              <w:rPr>
                <w:sz w:val="16"/>
                <w:szCs w:val="16"/>
              </w:rPr>
            </w:pPr>
            <w:r>
              <w:rPr>
                <w:sz w:val="16"/>
                <w:szCs w:val="16"/>
              </w:rPr>
              <w:t>XX</w:t>
            </w:r>
          </w:p>
        </w:tc>
        <w:tc>
          <w:tcPr>
            <w:tcW w:w="810" w:type="dxa"/>
            <w:shd w:val="clear" w:color="auto" w:fill="auto"/>
          </w:tcPr>
          <w:p w:rsidR="00A22F56" w:rsidRDefault="00506037">
            <w:pPr>
              <w:spacing w:line="240" w:lineRule="auto"/>
              <w:ind w:left="0" w:hanging="2"/>
              <w:jc w:val="center"/>
              <w:rPr>
                <w:sz w:val="16"/>
                <w:szCs w:val="16"/>
              </w:rPr>
            </w:pPr>
            <w:r>
              <w:rPr>
                <w:sz w:val="16"/>
                <w:szCs w:val="16"/>
              </w:rPr>
              <w:t>XXXX</w:t>
            </w:r>
          </w:p>
        </w:tc>
        <w:tc>
          <w:tcPr>
            <w:tcW w:w="900" w:type="dxa"/>
            <w:shd w:val="clear" w:color="auto" w:fill="D9D9D9"/>
          </w:tcPr>
          <w:p w:rsidR="00A22F56" w:rsidRDefault="00506037">
            <w:pPr>
              <w:spacing w:line="240" w:lineRule="auto"/>
              <w:ind w:left="0" w:hanging="2"/>
              <w:jc w:val="center"/>
              <w:rPr>
                <w:sz w:val="16"/>
                <w:szCs w:val="16"/>
              </w:rPr>
            </w:pPr>
            <w:r>
              <w:rPr>
                <w:sz w:val="16"/>
                <w:szCs w:val="16"/>
              </w:rPr>
              <w:t>XXXX</w:t>
            </w:r>
          </w:p>
        </w:tc>
        <w:tc>
          <w:tcPr>
            <w:tcW w:w="1080" w:type="dxa"/>
            <w:shd w:val="clear" w:color="auto" w:fill="auto"/>
          </w:tcPr>
          <w:p w:rsidR="00A22F56" w:rsidRDefault="00506037">
            <w:pPr>
              <w:spacing w:line="240" w:lineRule="auto"/>
              <w:ind w:left="0" w:hanging="2"/>
              <w:jc w:val="center"/>
              <w:rPr>
                <w:sz w:val="16"/>
                <w:szCs w:val="16"/>
              </w:rPr>
            </w:pPr>
            <w:r>
              <w:rPr>
                <w:sz w:val="16"/>
                <w:szCs w:val="16"/>
              </w:rPr>
              <w:t>XXXX</w:t>
            </w:r>
          </w:p>
        </w:tc>
        <w:tc>
          <w:tcPr>
            <w:tcW w:w="990" w:type="dxa"/>
            <w:shd w:val="clear" w:color="auto" w:fill="auto"/>
          </w:tcPr>
          <w:p w:rsidR="00A22F56" w:rsidRDefault="00506037">
            <w:pPr>
              <w:spacing w:line="240" w:lineRule="auto"/>
              <w:ind w:left="0" w:hanging="2"/>
              <w:jc w:val="center"/>
              <w:rPr>
                <w:sz w:val="16"/>
                <w:szCs w:val="16"/>
              </w:rPr>
            </w:pPr>
            <w:r>
              <w:rPr>
                <w:sz w:val="16"/>
                <w:szCs w:val="16"/>
              </w:rPr>
              <w:t>XXXXXX</w:t>
            </w:r>
          </w:p>
        </w:tc>
        <w:tc>
          <w:tcPr>
            <w:tcW w:w="990" w:type="dxa"/>
            <w:shd w:val="clear" w:color="auto" w:fill="auto"/>
          </w:tcPr>
          <w:p w:rsidR="00A22F56" w:rsidRDefault="00506037">
            <w:pPr>
              <w:spacing w:line="240" w:lineRule="auto"/>
              <w:ind w:left="0" w:hanging="2"/>
              <w:rPr>
                <w:sz w:val="16"/>
                <w:szCs w:val="16"/>
              </w:rPr>
            </w:pPr>
            <w:r>
              <w:rPr>
                <w:sz w:val="16"/>
                <w:szCs w:val="16"/>
              </w:rPr>
              <w:t>XXX</w:t>
            </w:r>
          </w:p>
        </w:tc>
        <w:tc>
          <w:tcPr>
            <w:tcW w:w="900" w:type="dxa"/>
            <w:shd w:val="clear" w:color="auto" w:fill="auto"/>
          </w:tcPr>
          <w:p w:rsidR="00A22F56" w:rsidRDefault="00506037">
            <w:pPr>
              <w:spacing w:line="240" w:lineRule="auto"/>
              <w:ind w:left="0" w:hanging="2"/>
              <w:jc w:val="both"/>
              <w:rPr>
                <w:sz w:val="16"/>
                <w:szCs w:val="16"/>
              </w:rPr>
            </w:pPr>
            <w:r>
              <w:rPr>
                <w:sz w:val="16"/>
                <w:szCs w:val="16"/>
              </w:rPr>
              <w:t>$XXXXX</w:t>
            </w:r>
          </w:p>
        </w:tc>
        <w:tc>
          <w:tcPr>
            <w:tcW w:w="1080" w:type="dxa"/>
            <w:shd w:val="clear" w:color="auto" w:fill="auto"/>
          </w:tcPr>
          <w:p w:rsidR="00A22F56" w:rsidRDefault="00506037">
            <w:pPr>
              <w:spacing w:line="240" w:lineRule="auto"/>
              <w:ind w:left="0" w:hanging="2"/>
              <w:jc w:val="center"/>
              <w:rPr>
                <w:sz w:val="16"/>
                <w:szCs w:val="16"/>
              </w:rPr>
            </w:pPr>
            <w:r>
              <w:rPr>
                <w:sz w:val="16"/>
                <w:szCs w:val="16"/>
              </w:rPr>
              <w:t>Yes/No</w:t>
            </w:r>
          </w:p>
        </w:tc>
      </w:tr>
      <w:tr w:rsidR="00A22F56">
        <w:tc>
          <w:tcPr>
            <w:tcW w:w="630" w:type="dxa"/>
            <w:shd w:val="clear" w:color="auto" w:fill="auto"/>
          </w:tcPr>
          <w:p w:rsidR="00A22F56" w:rsidRDefault="00506037">
            <w:pPr>
              <w:spacing w:line="240" w:lineRule="auto"/>
              <w:ind w:left="0" w:hanging="2"/>
              <w:jc w:val="center"/>
              <w:rPr>
                <w:b/>
                <w:sz w:val="16"/>
                <w:szCs w:val="16"/>
              </w:rPr>
            </w:pPr>
            <w:r>
              <w:rPr>
                <w:b/>
                <w:sz w:val="16"/>
                <w:szCs w:val="16"/>
              </w:rPr>
              <w:t>C</w:t>
            </w:r>
          </w:p>
        </w:tc>
        <w:tc>
          <w:tcPr>
            <w:tcW w:w="1170" w:type="dxa"/>
            <w:shd w:val="clear" w:color="auto" w:fill="auto"/>
          </w:tcPr>
          <w:p w:rsidR="00A22F56" w:rsidRDefault="00506037">
            <w:pPr>
              <w:spacing w:line="240" w:lineRule="auto"/>
              <w:ind w:left="0" w:hanging="2"/>
              <w:jc w:val="center"/>
              <w:rPr>
                <w:sz w:val="16"/>
                <w:szCs w:val="16"/>
              </w:rPr>
            </w:pPr>
            <w:r>
              <w:rPr>
                <w:sz w:val="16"/>
                <w:szCs w:val="16"/>
              </w:rPr>
              <w:t>XXXXXXXX</w:t>
            </w:r>
          </w:p>
        </w:tc>
        <w:tc>
          <w:tcPr>
            <w:tcW w:w="900" w:type="dxa"/>
            <w:shd w:val="clear" w:color="auto" w:fill="auto"/>
          </w:tcPr>
          <w:p w:rsidR="00A22F56" w:rsidRDefault="00506037">
            <w:pPr>
              <w:spacing w:line="240" w:lineRule="auto"/>
              <w:ind w:left="0" w:hanging="2"/>
              <w:jc w:val="center"/>
              <w:rPr>
                <w:sz w:val="16"/>
                <w:szCs w:val="16"/>
              </w:rPr>
            </w:pPr>
            <w:r>
              <w:rPr>
                <w:sz w:val="16"/>
                <w:szCs w:val="16"/>
              </w:rPr>
              <w:t>XXXXX</w:t>
            </w:r>
          </w:p>
        </w:tc>
        <w:tc>
          <w:tcPr>
            <w:tcW w:w="720" w:type="dxa"/>
            <w:shd w:val="clear" w:color="auto" w:fill="auto"/>
          </w:tcPr>
          <w:p w:rsidR="00A22F56" w:rsidRDefault="00506037">
            <w:pPr>
              <w:spacing w:line="240" w:lineRule="auto"/>
              <w:ind w:left="0" w:hanging="2"/>
              <w:jc w:val="center"/>
              <w:rPr>
                <w:sz w:val="16"/>
                <w:szCs w:val="16"/>
              </w:rPr>
            </w:pPr>
            <w:r>
              <w:rPr>
                <w:sz w:val="16"/>
                <w:szCs w:val="16"/>
              </w:rPr>
              <w:t>XXX</w:t>
            </w:r>
          </w:p>
        </w:tc>
        <w:tc>
          <w:tcPr>
            <w:tcW w:w="630" w:type="dxa"/>
            <w:shd w:val="clear" w:color="auto" w:fill="D9D9D9"/>
          </w:tcPr>
          <w:p w:rsidR="00A22F56" w:rsidRDefault="00506037">
            <w:pPr>
              <w:spacing w:line="240" w:lineRule="auto"/>
              <w:ind w:left="0" w:hanging="2"/>
              <w:jc w:val="center"/>
              <w:rPr>
                <w:sz w:val="16"/>
                <w:szCs w:val="16"/>
              </w:rPr>
            </w:pPr>
            <w:r>
              <w:rPr>
                <w:sz w:val="16"/>
                <w:szCs w:val="16"/>
              </w:rPr>
              <w:t>XX</w:t>
            </w:r>
          </w:p>
        </w:tc>
        <w:tc>
          <w:tcPr>
            <w:tcW w:w="810" w:type="dxa"/>
            <w:shd w:val="clear" w:color="auto" w:fill="D9D9D9"/>
          </w:tcPr>
          <w:p w:rsidR="00A22F56" w:rsidRDefault="00506037">
            <w:pPr>
              <w:spacing w:line="240" w:lineRule="auto"/>
              <w:ind w:left="0" w:hanging="2"/>
              <w:jc w:val="center"/>
              <w:rPr>
                <w:sz w:val="16"/>
                <w:szCs w:val="16"/>
              </w:rPr>
            </w:pPr>
            <w:r>
              <w:rPr>
                <w:sz w:val="16"/>
                <w:szCs w:val="16"/>
              </w:rPr>
              <w:t>XXXX</w:t>
            </w:r>
          </w:p>
        </w:tc>
        <w:tc>
          <w:tcPr>
            <w:tcW w:w="900" w:type="dxa"/>
            <w:shd w:val="clear" w:color="auto" w:fill="auto"/>
          </w:tcPr>
          <w:p w:rsidR="00A22F56" w:rsidRDefault="00506037">
            <w:pPr>
              <w:spacing w:line="240" w:lineRule="auto"/>
              <w:ind w:left="0" w:hanging="2"/>
              <w:jc w:val="center"/>
              <w:rPr>
                <w:sz w:val="16"/>
                <w:szCs w:val="16"/>
              </w:rPr>
            </w:pPr>
            <w:r>
              <w:rPr>
                <w:sz w:val="16"/>
                <w:szCs w:val="16"/>
              </w:rPr>
              <w:t>XXXX</w:t>
            </w:r>
          </w:p>
        </w:tc>
        <w:tc>
          <w:tcPr>
            <w:tcW w:w="1080" w:type="dxa"/>
            <w:shd w:val="clear" w:color="auto" w:fill="auto"/>
          </w:tcPr>
          <w:p w:rsidR="00A22F56" w:rsidRDefault="00506037">
            <w:pPr>
              <w:spacing w:line="240" w:lineRule="auto"/>
              <w:ind w:left="0" w:hanging="2"/>
              <w:jc w:val="center"/>
              <w:rPr>
                <w:sz w:val="16"/>
                <w:szCs w:val="16"/>
              </w:rPr>
            </w:pPr>
            <w:r>
              <w:rPr>
                <w:sz w:val="16"/>
                <w:szCs w:val="16"/>
              </w:rPr>
              <w:t>XXXX</w:t>
            </w:r>
          </w:p>
        </w:tc>
        <w:tc>
          <w:tcPr>
            <w:tcW w:w="990" w:type="dxa"/>
            <w:shd w:val="clear" w:color="auto" w:fill="auto"/>
          </w:tcPr>
          <w:p w:rsidR="00A22F56" w:rsidRDefault="00506037">
            <w:pPr>
              <w:spacing w:line="240" w:lineRule="auto"/>
              <w:ind w:left="0" w:hanging="2"/>
              <w:jc w:val="center"/>
              <w:rPr>
                <w:sz w:val="16"/>
                <w:szCs w:val="16"/>
              </w:rPr>
            </w:pPr>
            <w:r>
              <w:rPr>
                <w:sz w:val="16"/>
                <w:szCs w:val="16"/>
              </w:rPr>
              <w:t>XXXXXX</w:t>
            </w:r>
          </w:p>
        </w:tc>
        <w:tc>
          <w:tcPr>
            <w:tcW w:w="990" w:type="dxa"/>
            <w:shd w:val="clear" w:color="auto" w:fill="auto"/>
          </w:tcPr>
          <w:p w:rsidR="00A22F56" w:rsidRDefault="00506037">
            <w:pPr>
              <w:spacing w:line="240" w:lineRule="auto"/>
              <w:ind w:left="0" w:hanging="2"/>
              <w:rPr>
                <w:sz w:val="16"/>
                <w:szCs w:val="16"/>
              </w:rPr>
            </w:pPr>
            <w:r>
              <w:rPr>
                <w:sz w:val="16"/>
                <w:szCs w:val="16"/>
              </w:rPr>
              <w:t>XXX</w:t>
            </w:r>
          </w:p>
        </w:tc>
        <w:tc>
          <w:tcPr>
            <w:tcW w:w="900" w:type="dxa"/>
            <w:shd w:val="clear" w:color="auto" w:fill="auto"/>
          </w:tcPr>
          <w:p w:rsidR="00A22F56" w:rsidRDefault="00506037">
            <w:pPr>
              <w:spacing w:line="240" w:lineRule="auto"/>
              <w:ind w:left="0" w:hanging="2"/>
              <w:jc w:val="both"/>
              <w:rPr>
                <w:sz w:val="16"/>
                <w:szCs w:val="16"/>
              </w:rPr>
            </w:pPr>
            <w:r>
              <w:rPr>
                <w:sz w:val="16"/>
                <w:szCs w:val="16"/>
              </w:rPr>
              <w:t>$XXXXX</w:t>
            </w:r>
          </w:p>
        </w:tc>
        <w:tc>
          <w:tcPr>
            <w:tcW w:w="1080" w:type="dxa"/>
            <w:shd w:val="clear" w:color="auto" w:fill="auto"/>
          </w:tcPr>
          <w:p w:rsidR="00A22F56" w:rsidRDefault="00506037">
            <w:pPr>
              <w:spacing w:line="240" w:lineRule="auto"/>
              <w:ind w:left="0" w:hanging="2"/>
              <w:jc w:val="center"/>
              <w:rPr>
                <w:sz w:val="16"/>
                <w:szCs w:val="16"/>
              </w:rPr>
            </w:pPr>
            <w:r>
              <w:rPr>
                <w:sz w:val="16"/>
                <w:szCs w:val="16"/>
              </w:rPr>
              <w:t>Yes/No</w:t>
            </w:r>
          </w:p>
        </w:tc>
      </w:tr>
    </w:tbl>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b/>
          <w:sz w:val="22"/>
          <w:szCs w:val="22"/>
        </w:rPr>
        <w:t>A</w:t>
      </w:r>
      <w:r>
        <w:rPr>
          <w:rFonts w:ascii="Calibri" w:eastAsia="Calibri" w:hAnsi="Calibri" w:cs="Calibri"/>
          <w:sz w:val="22"/>
          <w:szCs w:val="22"/>
        </w:rPr>
        <w:t xml:space="preserve"> – The regular salaries for nurse employees were charged to Function 214, but should have been charged to Function 216.</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b/>
          <w:sz w:val="22"/>
          <w:szCs w:val="22"/>
        </w:rPr>
        <w:t>B</w:t>
      </w:r>
      <w:r>
        <w:rPr>
          <w:rFonts w:ascii="Calibri" w:eastAsia="Calibri" w:hAnsi="Calibri" w:cs="Calibri"/>
          <w:sz w:val="22"/>
          <w:szCs w:val="22"/>
        </w:rPr>
        <w:t xml:space="preserve"> -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b/>
          <w:sz w:val="22"/>
          <w:szCs w:val="22"/>
        </w:rPr>
        <w:t>C</w:t>
      </w:r>
      <w:r>
        <w:rPr>
          <w:rFonts w:ascii="Calibri" w:eastAsia="Calibri" w:hAnsi="Calibri" w:cs="Calibri"/>
          <w:sz w:val="22"/>
          <w:szCs w:val="22"/>
        </w:rPr>
        <w:t xml:space="preserve"> -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b/>
          <w:sz w:val="22"/>
          <w:szCs w:val="22"/>
        </w:rPr>
        <w:t>SCHOOL RESPONSE:</w:t>
      </w:r>
      <w:r>
        <w:rPr>
          <w:rFonts w:ascii="Calibri" w:eastAsia="Calibri" w:hAnsi="Calibri" w:cs="Calibri"/>
          <w:sz w:val="22"/>
          <w:szCs w:val="22"/>
        </w:rPr>
        <w:t xml:space="preserve"> (if applicable)</w:t>
      </w: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highlight w:val="lightGray"/>
        </w:rPr>
      </w:pPr>
      <w:r>
        <w:rPr>
          <w:rFonts w:ascii="Calibri" w:eastAsia="Calibri" w:hAnsi="Calibri" w:cs="Calibri"/>
          <w:b/>
          <w:sz w:val="22"/>
          <w:szCs w:val="22"/>
          <w:highlight w:val="lightGray"/>
        </w:rPr>
        <w:t>REQUIREMENT 2:</w:t>
      </w:r>
    </w:p>
    <w:p w:rsidR="00A22F56" w:rsidRDefault="00A22F56">
      <w:pPr>
        <w:spacing w:line="240" w:lineRule="auto"/>
        <w:ind w:left="0" w:hanging="2"/>
        <w:jc w:val="both"/>
        <w:rPr>
          <w:rFonts w:ascii="Calibri" w:eastAsia="Calibri" w:hAnsi="Calibri" w:cs="Calibri"/>
          <w:sz w:val="20"/>
          <w:szCs w:val="20"/>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UCOA accounts are used and UCOA methodologies are followed in the accounting system and records of each reporting entity.  Determine if total activity (revenue and expenditures) for the fiscal year as reported (uploaded) to the UCOA database, as of the fin</w:t>
      </w:r>
      <w:r>
        <w:rPr>
          <w:rFonts w:ascii="Calibri" w:eastAsia="Calibri" w:hAnsi="Calibri" w:cs="Calibri"/>
          <w:sz w:val="22"/>
          <w:szCs w:val="22"/>
        </w:rPr>
        <w:t xml:space="preserve">al upload date, reconciles to the total activity within each Fund/Subfund as reported in the final audited financial statements and if the amounts reported (uploaded) to the UCOA database are present in UCOA form, content and amounts within the accounting </w:t>
      </w:r>
      <w:r>
        <w:rPr>
          <w:rFonts w:ascii="Calibri" w:eastAsia="Calibri" w:hAnsi="Calibri" w:cs="Calibri"/>
          <w:sz w:val="22"/>
          <w:szCs w:val="22"/>
        </w:rPr>
        <w:t>system of the reporting entity.</w:t>
      </w:r>
      <w:r>
        <w:rPr>
          <w:rFonts w:ascii="Calibri" w:eastAsia="Calibri" w:hAnsi="Calibri" w:cs="Calibri"/>
          <w:sz w:val="22"/>
          <w:szCs w:val="22"/>
          <w:highlight w:val="yellow"/>
        </w:rPr>
        <w:t xml:space="preserve"> </w:t>
      </w:r>
    </w:p>
    <w:p w:rsidR="00A22F56" w:rsidRDefault="00A22F56">
      <w:pPr>
        <w:spacing w:line="240" w:lineRule="auto"/>
        <w:ind w:left="0" w:hanging="2"/>
        <w:jc w:val="both"/>
        <w:rPr>
          <w:rFonts w:ascii="Calibri" w:eastAsia="Calibri" w:hAnsi="Calibri" w:cs="Calibri"/>
          <w:sz w:val="20"/>
          <w:szCs w:val="20"/>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PROCEDURES:</w:t>
      </w:r>
    </w:p>
    <w:p w:rsidR="00A22F56" w:rsidRDefault="00A22F56">
      <w:pPr>
        <w:spacing w:line="240" w:lineRule="auto"/>
        <w:ind w:left="0" w:hanging="2"/>
        <w:jc w:val="both"/>
        <w:rPr>
          <w:rFonts w:ascii="Calibri" w:eastAsia="Calibri" w:hAnsi="Calibri" w:cs="Calibri"/>
          <w:sz w:val="16"/>
          <w:szCs w:val="16"/>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Subtotal the final UCOA upload file by revenues and expenditures under each Fund/Subfund and reconcile to the audited financial statements (GAAP-basis).  The following template should be used for reporting the</w:t>
      </w:r>
      <w:r>
        <w:rPr>
          <w:rFonts w:ascii="Calibri" w:eastAsia="Calibri" w:hAnsi="Calibri" w:cs="Calibri"/>
          <w:sz w:val="22"/>
          <w:szCs w:val="22"/>
        </w:rPr>
        <w:t xml:space="preserve"> reconciliation between the </w:t>
      </w:r>
      <w:r>
        <w:rPr>
          <w:rFonts w:ascii="Calibri" w:eastAsia="Calibri" w:hAnsi="Calibri" w:cs="Calibri"/>
          <w:sz w:val="22"/>
          <w:szCs w:val="22"/>
        </w:rPr>
        <w:lastRenderedPageBreak/>
        <w:t>UCOA upload file and the audited financial statements.  Trust and Agency Funds are to be excluded from the reconciliation.  Transfer of appropriations from the municipality’s general fund to the unrestricted school fund are trea</w:t>
      </w:r>
      <w:r>
        <w:rPr>
          <w:rFonts w:ascii="Calibri" w:eastAsia="Calibri" w:hAnsi="Calibri" w:cs="Calibri"/>
          <w:sz w:val="22"/>
          <w:szCs w:val="22"/>
        </w:rPr>
        <w:t>ted as revenue in the unrestricted school fund for UCOA reporting and should be reported as a proper reconciling item.</w:t>
      </w:r>
    </w:p>
    <w:p w:rsidR="00A22F56" w:rsidRDefault="00A22F56">
      <w:pPr>
        <w:spacing w:line="240" w:lineRule="auto"/>
        <w:ind w:left="0" w:hanging="2"/>
        <w:jc w:val="both"/>
        <w:rPr>
          <w:rFonts w:ascii="Calibri" w:eastAsia="Calibri" w:hAnsi="Calibri" w:cs="Calibri"/>
          <w:sz w:val="16"/>
          <w:szCs w:val="16"/>
        </w:rPr>
      </w:pPr>
    </w:p>
    <w:p w:rsidR="00A22F56" w:rsidRDefault="00506037">
      <w:pPr>
        <w:pBdr>
          <w:top w:val="single" w:sz="4" w:space="1" w:color="000000"/>
          <w:left w:val="single" w:sz="4" w:space="4" w:color="000000"/>
          <w:bottom w:val="single" w:sz="4" w:space="1" w:color="000000"/>
          <w:right w:val="single" w:sz="4" w:space="4" w:color="000000"/>
        </w:pBdr>
        <w:shd w:val="clear" w:color="auto" w:fill="D9D9D9"/>
        <w:spacing w:line="240" w:lineRule="auto"/>
        <w:ind w:left="0" w:hanging="2"/>
        <w:jc w:val="both"/>
        <w:rPr>
          <w:rFonts w:ascii="Calibri" w:eastAsia="Calibri" w:hAnsi="Calibri" w:cs="Calibri"/>
          <w:color w:val="4472C4"/>
          <w:sz w:val="20"/>
          <w:szCs w:val="20"/>
        </w:rPr>
      </w:pPr>
      <w:r>
        <w:rPr>
          <w:rFonts w:ascii="Calibri" w:eastAsia="Calibri" w:hAnsi="Calibri" w:cs="Calibri"/>
          <w:i/>
          <w:color w:val="000000"/>
          <w:sz w:val="20"/>
          <w:szCs w:val="20"/>
          <w:u w:val="single"/>
        </w:rPr>
        <w:t>Please note</w:t>
      </w:r>
      <w:r>
        <w:rPr>
          <w:rFonts w:ascii="Calibri" w:eastAsia="Calibri" w:hAnsi="Calibri" w:cs="Calibri"/>
          <w:color w:val="000000"/>
          <w:sz w:val="20"/>
          <w:szCs w:val="20"/>
        </w:rPr>
        <w:t xml:space="preserve"> –</w:t>
      </w:r>
      <w:r>
        <w:rPr>
          <w:rFonts w:ascii="Calibri" w:eastAsia="Calibri" w:hAnsi="Calibri" w:cs="Calibri"/>
          <w:i/>
          <w:color w:val="000000"/>
          <w:sz w:val="20"/>
          <w:szCs w:val="20"/>
        </w:rPr>
        <w:t xml:space="preserve"> For school districts with a fiscal year end of June 30, the reconciliation between the audited financial statements and the UCOA file is not required to be presented in the AUP reporting package because a three-way reconciliation between the audited finan</w:t>
      </w:r>
      <w:r>
        <w:rPr>
          <w:rFonts w:ascii="Calibri" w:eastAsia="Calibri" w:hAnsi="Calibri" w:cs="Calibri"/>
          <w:i/>
          <w:color w:val="000000"/>
          <w:sz w:val="20"/>
          <w:szCs w:val="20"/>
        </w:rPr>
        <w:t>cial statements, the Municipal Transparency Portal (MTP) schedules, and the UCOA file would be presented in the audited financial statements as other supplementary information.  It shall be noted in the AUP report that the three-way reconciliation is prese</w:t>
      </w:r>
      <w:r>
        <w:rPr>
          <w:rFonts w:ascii="Calibri" w:eastAsia="Calibri" w:hAnsi="Calibri" w:cs="Calibri"/>
          <w:i/>
          <w:color w:val="000000"/>
          <w:sz w:val="20"/>
          <w:szCs w:val="20"/>
        </w:rPr>
        <w:t>nted in the audit report.     All other school entities (i.e., school districts with a fiscal year end other than June 30, charter schools, State schools, and collaboratives) shall continue to include the reconciliation in the AUP report.</w:t>
      </w:r>
    </w:p>
    <w:p w:rsidR="00A22F56" w:rsidRDefault="00A22F56">
      <w:pPr>
        <w:spacing w:line="240" w:lineRule="auto"/>
        <w:ind w:left="0" w:hanging="2"/>
        <w:rPr>
          <w:rFonts w:ascii="Calibri" w:eastAsia="Calibri" w:hAnsi="Calibri" w:cs="Calibri"/>
          <w:sz w:val="16"/>
          <w:szCs w:val="16"/>
          <w:highlight w:val="yellow"/>
        </w:rPr>
      </w:pPr>
    </w:p>
    <w:p w:rsidR="00A22F56" w:rsidRDefault="00506037">
      <w:pPr>
        <w:spacing w:line="240" w:lineRule="auto"/>
        <w:ind w:left="0" w:hanging="2"/>
        <w:rPr>
          <w:rFonts w:ascii="Calibri" w:eastAsia="Calibri" w:hAnsi="Calibri" w:cs="Calibri"/>
          <w:sz w:val="22"/>
          <w:szCs w:val="22"/>
        </w:rPr>
      </w:pPr>
      <w:r>
        <w:rPr>
          <w:rFonts w:ascii="Calibri" w:eastAsia="Calibri" w:hAnsi="Calibri" w:cs="Calibri"/>
          <w:sz w:val="22"/>
          <w:szCs w:val="22"/>
        </w:rPr>
        <w:t>Request from RID</w:t>
      </w:r>
      <w:r>
        <w:rPr>
          <w:rFonts w:ascii="Calibri" w:eastAsia="Calibri" w:hAnsi="Calibri" w:cs="Calibri"/>
          <w:sz w:val="22"/>
          <w:szCs w:val="22"/>
        </w:rPr>
        <w:t>E a copy of the reporting entity’s last error report just prior to the school’s final UCOA file upload with zero errors.   Trace the errors listed on the report to the corrections made within the accounting system for the same reporting period.  (Please No</w:t>
      </w:r>
      <w:r>
        <w:rPr>
          <w:rFonts w:ascii="Calibri" w:eastAsia="Calibri" w:hAnsi="Calibri" w:cs="Calibri"/>
          <w:sz w:val="22"/>
          <w:szCs w:val="22"/>
        </w:rPr>
        <w:t xml:space="preserve">te - If the error report lists more than five coding errors, a maximum sample of five errors shall be tested.) </w:t>
      </w:r>
    </w:p>
    <w:p w:rsidR="00A22F56" w:rsidRDefault="00A22F56">
      <w:pPr>
        <w:spacing w:line="240" w:lineRule="auto"/>
        <w:ind w:left="0" w:hanging="2"/>
        <w:jc w:val="both"/>
        <w:rPr>
          <w:rFonts w:ascii="Calibri" w:eastAsia="Calibri" w:hAnsi="Calibri" w:cs="Calibri"/>
          <w:sz w:val="20"/>
          <w:szCs w:val="20"/>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 xml:space="preserve">RESULTS: </w:t>
      </w:r>
    </w:p>
    <w:p w:rsidR="00A22F56" w:rsidRDefault="00A22F56">
      <w:pPr>
        <w:spacing w:line="240" w:lineRule="auto"/>
        <w:ind w:left="0" w:hanging="2"/>
        <w:jc w:val="both"/>
        <w:rPr>
          <w:rFonts w:ascii="Calibri" w:eastAsia="Calibri" w:hAnsi="Calibri" w:cs="Calibri"/>
          <w:b/>
          <w:sz w:val="20"/>
          <w:szCs w:val="20"/>
        </w:rPr>
      </w:pPr>
    </w:p>
    <w:p w:rsidR="00A22F56" w:rsidRDefault="00506037">
      <w:pPr>
        <w:spacing w:line="240" w:lineRule="auto"/>
        <w:ind w:left="0" w:hanging="2"/>
        <w:jc w:val="both"/>
        <w:rPr>
          <w:rFonts w:ascii="Calibri" w:eastAsia="Calibri" w:hAnsi="Calibri" w:cs="Calibri"/>
          <w:sz w:val="22"/>
          <w:szCs w:val="22"/>
          <w:u w:val="single"/>
        </w:rPr>
      </w:pPr>
      <w:r>
        <w:rPr>
          <w:rFonts w:ascii="Calibri" w:eastAsia="Calibri" w:hAnsi="Calibri" w:cs="Calibri"/>
          <w:b/>
          <w:i/>
          <w:sz w:val="22"/>
          <w:szCs w:val="22"/>
          <w:u w:val="single"/>
        </w:rPr>
        <w:t>For school districts with a fiscal year end of June 30, please make the following statement:</w:t>
      </w:r>
    </w:p>
    <w:p w:rsidR="00A22F56" w:rsidRDefault="00A22F56">
      <w:pPr>
        <w:spacing w:line="240" w:lineRule="auto"/>
        <w:ind w:left="0" w:hanging="2"/>
        <w:jc w:val="both"/>
        <w:rPr>
          <w:rFonts w:ascii="Calibri" w:eastAsia="Calibri" w:hAnsi="Calibri" w:cs="Calibri"/>
          <w:sz w:val="16"/>
          <w:szCs w:val="16"/>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A three-way reconciliation between the audited financial statements, the Municipal Transparency Portal schedules, and the UCOA file is presented in the audit report of the municipality (or the regional school) as supplementary information. </w:t>
      </w:r>
    </w:p>
    <w:p w:rsidR="00A22F56" w:rsidRDefault="00A22F56">
      <w:pPr>
        <w:spacing w:line="240" w:lineRule="auto"/>
        <w:ind w:left="0" w:hanging="2"/>
        <w:jc w:val="both"/>
        <w:rPr>
          <w:rFonts w:ascii="Calibri" w:eastAsia="Calibri" w:hAnsi="Calibri" w:cs="Calibri"/>
          <w:sz w:val="16"/>
          <w:szCs w:val="16"/>
        </w:rPr>
      </w:pPr>
    </w:p>
    <w:p w:rsidR="00A22F56" w:rsidRDefault="00506037">
      <w:pPr>
        <w:spacing w:line="240" w:lineRule="auto"/>
        <w:ind w:left="0" w:hanging="2"/>
        <w:jc w:val="both"/>
        <w:rPr>
          <w:rFonts w:ascii="Calibri" w:eastAsia="Calibri" w:hAnsi="Calibri" w:cs="Calibri"/>
          <w:b/>
          <w:i/>
          <w:sz w:val="22"/>
          <w:szCs w:val="22"/>
          <w:u w:val="single"/>
        </w:rPr>
      </w:pPr>
      <w:r>
        <w:rPr>
          <w:rFonts w:ascii="Calibri" w:eastAsia="Calibri" w:hAnsi="Calibri" w:cs="Calibri"/>
          <w:b/>
          <w:i/>
          <w:sz w:val="22"/>
          <w:szCs w:val="22"/>
          <w:u w:val="single"/>
        </w:rPr>
        <w:t>For school dis</w:t>
      </w:r>
      <w:r>
        <w:rPr>
          <w:rFonts w:ascii="Calibri" w:eastAsia="Calibri" w:hAnsi="Calibri" w:cs="Calibri"/>
          <w:b/>
          <w:i/>
          <w:sz w:val="22"/>
          <w:szCs w:val="22"/>
          <w:u w:val="single"/>
        </w:rPr>
        <w:t>tricts with a fiscal year end other than June 30 and other school entities:</w:t>
      </w:r>
    </w:p>
    <w:p w:rsidR="00A22F56" w:rsidRDefault="00A22F56">
      <w:pPr>
        <w:spacing w:line="240" w:lineRule="auto"/>
        <w:ind w:left="0" w:hanging="2"/>
        <w:jc w:val="both"/>
        <w:rPr>
          <w:rFonts w:ascii="Calibri" w:eastAsia="Calibri" w:hAnsi="Calibri" w:cs="Calibri"/>
          <w:i/>
          <w:sz w:val="16"/>
          <w:szCs w:val="16"/>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Variances between the UCOA upload file and audited financial statements shall be identified in the following reconciliation template.  </w:t>
      </w:r>
    </w:p>
    <w:p w:rsidR="00A22F56" w:rsidRDefault="00A22F56">
      <w:pPr>
        <w:spacing w:line="240" w:lineRule="auto"/>
        <w:ind w:left="0" w:hanging="2"/>
        <w:jc w:val="both"/>
        <w:rPr>
          <w:rFonts w:ascii="Calibri" w:eastAsia="Calibri" w:hAnsi="Calibri" w:cs="Calibri"/>
          <w:i/>
          <w:sz w:val="16"/>
          <w:szCs w:val="16"/>
        </w:rPr>
      </w:pPr>
    </w:p>
    <w:p w:rsidR="00A22F56" w:rsidRDefault="00506037">
      <w:pPr>
        <w:spacing w:line="240" w:lineRule="auto"/>
        <w:ind w:left="0" w:hanging="2"/>
        <w:jc w:val="both"/>
        <w:rPr>
          <w:rFonts w:ascii="Calibri" w:eastAsia="Calibri" w:hAnsi="Calibri" w:cs="Calibri"/>
          <w:b/>
          <w:i/>
          <w:sz w:val="22"/>
          <w:szCs w:val="22"/>
          <w:u w:val="single"/>
        </w:rPr>
      </w:pPr>
      <w:r>
        <w:rPr>
          <w:rFonts w:ascii="Calibri" w:eastAsia="Calibri" w:hAnsi="Calibri" w:cs="Calibri"/>
          <w:b/>
          <w:i/>
          <w:sz w:val="22"/>
          <w:szCs w:val="22"/>
          <w:u w:val="single"/>
        </w:rPr>
        <w:t>For all school entities:</w:t>
      </w:r>
    </w:p>
    <w:p w:rsidR="00A22F56" w:rsidRDefault="00A22F56">
      <w:pPr>
        <w:spacing w:line="240" w:lineRule="auto"/>
        <w:ind w:left="0" w:hanging="2"/>
        <w:jc w:val="both"/>
        <w:rPr>
          <w:rFonts w:ascii="Calibri" w:eastAsia="Calibri" w:hAnsi="Calibri" w:cs="Calibri"/>
          <w:sz w:val="16"/>
          <w:szCs w:val="16"/>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Describe the res</w:t>
      </w:r>
      <w:r>
        <w:rPr>
          <w:rFonts w:ascii="Calibri" w:eastAsia="Calibri" w:hAnsi="Calibri" w:cs="Calibri"/>
          <w:sz w:val="22"/>
          <w:szCs w:val="22"/>
        </w:rPr>
        <w:t>ults from tracing the UCOA coding errors identified in the upload process to the corrections posted in the accounting system.  Specifically identify in detail any coding errors that were not corrected in the accounting system.</w:t>
      </w:r>
    </w:p>
    <w:p w:rsidR="00A22F56" w:rsidRDefault="00A22F56">
      <w:pPr>
        <w:spacing w:line="240" w:lineRule="auto"/>
        <w:ind w:left="0" w:hanging="2"/>
        <w:jc w:val="both"/>
        <w:rPr>
          <w:rFonts w:ascii="Calibri" w:eastAsia="Calibri" w:hAnsi="Calibri" w:cs="Calibri"/>
          <w:sz w:val="16"/>
          <w:szCs w:val="16"/>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SCHOOL RESPONSE:</w:t>
      </w:r>
      <w:r>
        <w:rPr>
          <w:rFonts w:ascii="Calibri" w:eastAsia="Calibri" w:hAnsi="Calibri" w:cs="Calibri"/>
          <w:sz w:val="22"/>
          <w:szCs w:val="22"/>
        </w:rPr>
        <w:t xml:space="preserve"> (if applica</w:t>
      </w:r>
      <w:r>
        <w:rPr>
          <w:rFonts w:ascii="Calibri" w:eastAsia="Calibri" w:hAnsi="Calibri" w:cs="Calibri"/>
          <w:sz w:val="22"/>
          <w:szCs w:val="22"/>
        </w:rPr>
        <w:t>ble)</w:t>
      </w:r>
    </w:p>
    <w:p w:rsidR="00A22F56" w:rsidRDefault="00506037">
      <w:pPr>
        <w:spacing w:line="240" w:lineRule="auto"/>
        <w:ind w:left="0" w:hanging="2"/>
        <w:jc w:val="center"/>
        <w:rPr>
          <w:rFonts w:ascii="Calibri" w:eastAsia="Calibri" w:hAnsi="Calibri" w:cs="Calibri"/>
          <w:b/>
          <w:sz w:val="22"/>
          <w:szCs w:val="22"/>
        </w:rPr>
      </w:pPr>
      <w:r>
        <w:rPr>
          <w:noProof/>
          <w:sz w:val="20"/>
          <w:szCs w:val="20"/>
        </w:rPr>
        <w:lastRenderedPageBreak/>
        <w:drawing>
          <wp:inline distT="0" distB="0" distL="0" distR="0">
            <wp:extent cx="5741226" cy="8248862"/>
            <wp:effectExtent l="0" t="0" r="0" b="0"/>
            <wp:docPr id="10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741226" cy="8248862"/>
                    </a:xfrm>
                    <a:prstGeom prst="rect">
                      <a:avLst/>
                    </a:prstGeom>
                    <a:ln/>
                  </pic:spPr>
                </pic:pic>
              </a:graphicData>
            </a:graphic>
          </wp:inline>
        </w:drawing>
      </w:r>
    </w:p>
    <w:p w:rsidR="00A22F56" w:rsidRDefault="00A22F56">
      <w:pPr>
        <w:spacing w:line="240" w:lineRule="auto"/>
        <w:ind w:left="0" w:hanging="2"/>
        <w:jc w:val="both"/>
        <w:rPr>
          <w:rFonts w:ascii="Calibri" w:eastAsia="Calibri" w:hAnsi="Calibri" w:cs="Calibri"/>
          <w:b/>
          <w:sz w:val="22"/>
          <w:szCs w:val="22"/>
          <w:highlight w:val="lightGray"/>
        </w:rPr>
      </w:pPr>
    </w:p>
    <w:p w:rsidR="00A22F56" w:rsidRDefault="00A22F56">
      <w:pPr>
        <w:spacing w:line="240" w:lineRule="auto"/>
        <w:ind w:left="0" w:hanging="2"/>
        <w:jc w:val="both"/>
        <w:rPr>
          <w:rFonts w:ascii="Calibri" w:eastAsia="Calibri" w:hAnsi="Calibri" w:cs="Calibri"/>
          <w:b/>
          <w:sz w:val="22"/>
          <w:szCs w:val="22"/>
          <w:highlight w:val="lightGray"/>
        </w:rPr>
      </w:pPr>
    </w:p>
    <w:p w:rsidR="00A22F56" w:rsidRDefault="00A22F56">
      <w:pPr>
        <w:spacing w:line="240" w:lineRule="auto"/>
        <w:ind w:left="0" w:hanging="2"/>
        <w:jc w:val="both"/>
        <w:rPr>
          <w:rFonts w:ascii="Calibri" w:eastAsia="Calibri" w:hAnsi="Calibri" w:cs="Calibri"/>
          <w:b/>
          <w:sz w:val="22"/>
          <w:szCs w:val="22"/>
          <w:highlight w:val="lightGray"/>
        </w:rPr>
      </w:pPr>
    </w:p>
    <w:p w:rsidR="00A22F56" w:rsidRDefault="00A22F56">
      <w:pPr>
        <w:spacing w:line="240" w:lineRule="auto"/>
        <w:ind w:left="0" w:hanging="2"/>
        <w:jc w:val="both"/>
        <w:rPr>
          <w:rFonts w:ascii="Calibri" w:eastAsia="Calibri" w:hAnsi="Calibri" w:cs="Calibri"/>
          <w:b/>
          <w:sz w:val="22"/>
          <w:szCs w:val="22"/>
          <w:highlight w:val="lightGray"/>
        </w:rPr>
      </w:pPr>
    </w:p>
    <w:p w:rsidR="00A22F56" w:rsidRDefault="00506037">
      <w:pPr>
        <w:spacing w:line="240" w:lineRule="auto"/>
        <w:ind w:left="0" w:hanging="2"/>
        <w:jc w:val="both"/>
        <w:rPr>
          <w:rFonts w:ascii="Calibri" w:eastAsia="Calibri" w:hAnsi="Calibri" w:cs="Calibri"/>
          <w:b/>
          <w:sz w:val="22"/>
          <w:szCs w:val="22"/>
          <w:highlight w:val="lightGray"/>
        </w:rPr>
      </w:pPr>
      <w:r>
        <w:rPr>
          <w:rFonts w:ascii="Calibri" w:eastAsia="Calibri" w:hAnsi="Calibri" w:cs="Calibri"/>
          <w:b/>
          <w:sz w:val="22"/>
          <w:szCs w:val="22"/>
          <w:highlight w:val="lightGray"/>
        </w:rPr>
        <w:lastRenderedPageBreak/>
        <w:t>REQUIREMENT 3:</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Tuition costs are subject to various UCOA coding requirements.  Determine if the entity has complied with the UCOA requirements for reporting tuition costs:</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2"/>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Tuition costs may be charged to one of eight different expenditure object codes in the 55600 series, depending to whom the tuition payment is made (e.g., another school district within the State, a charter school, a private school, etc.).  In addition to t</w:t>
      </w:r>
      <w:r>
        <w:rPr>
          <w:rFonts w:ascii="Calibri" w:eastAsia="Calibri" w:hAnsi="Calibri" w:cs="Calibri"/>
          <w:sz w:val="22"/>
          <w:szCs w:val="22"/>
        </w:rPr>
        <w:t>uition charges, the billings from an outside provider may also include costs for personal aides and other similar charges.  Such charges are part of the services being provided to the student and should be captured in the same Object account for Tuition co</w:t>
      </w:r>
      <w:r>
        <w:rPr>
          <w:rFonts w:ascii="Calibri" w:eastAsia="Calibri" w:hAnsi="Calibri" w:cs="Calibri"/>
          <w:sz w:val="22"/>
          <w:szCs w:val="22"/>
        </w:rPr>
        <w:t xml:space="preserve">sts.  This maintains consistency in application of costs of this nature.  </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2"/>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For all Tuition accounts in the Object 55600 series, the Location will always be an Out-of-District account which will be limited to Location Types 07, 08, 10, 11, and 13.  </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2"/>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An Ou</w:t>
      </w:r>
      <w:r>
        <w:rPr>
          <w:rFonts w:ascii="Calibri" w:eastAsia="Calibri" w:hAnsi="Calibri" w:cs="Calibri"/>
          <w:sz w:val="22"/>
          <w:szCs w:val="22"/>
        </w:rPr>
        <w:t>t-of-District Location is defined not by the geographic boundaries, but by who “owns” the Non-Public/Private School.  By definition, all entities to which Tuition is paid are Out-of-District Locations.  Accordingly, only Function 431 (Public, Parochial, Pr</w:t>
      </w:r>
      <w:r>
        <w:rPr>
          <w:rFonts w:ascii="Calibri" w:eastAsia="Calibri" w:hAnsi="Calibri" w:cs="Calibri"/>
          <w:sz w:val="22"/>
          <w:szCs w:val="22"/>
        </w:rPr>
        <w:t>ivate, and Charter School Pass-Throughs) may be used with the Tuition Object codes in the 55600 series.</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42"/>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The Tuition Object 55600 series may be used with any Fund Type except 40 (Debt Service Funds) and 90 (Agency Funds/Custodial Funds).</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42"/>
        </w:numPr>
        <w:spacing w:line="240" w:lineRule="auto"/>
        <w:ind w:left="0" w:hanging="2"/>
        <w:jc w:val="both"/>
        <w:rPr>
          <w:rFonts w:ascii="Calibri" w:eastAsia="Calibri" w:hAnsi="Calibri" w:cs="Calibri"/>
          <w:sz w:val="22"/>
          <w:szCs w:val="22"/>
        </w:rPr>
      </w:pPr>
      <w:r>
        <w:rPr>
          <w:rFonts w:ascii="Calibri" w:eastAsia="Calibri" w:hAnsi="Calibri" w:cs="Calibri"/>
          <w:color w:val="000000"/>
          <w:sz w:val="22"/>
          <w:szCs w:val="22"/>
        </w:rPr>
        <w:t>For Special Educa</w:t>
      </w:r>
      <w:r>
        <w:rPr>
          <w:rFonts w:ascii="Calibri" w:eastAsia="Calibri" w:hAnsi="Calibri" w:cs="Calibri"/>
          <w:color w:val="000000"/>
          <w:sz w:val="22"/>
          <w:szCs w:val="22"/>
        </w:rPr>
        <w:t>tion students, Program 20 is used for students who are district-placed or program 50 for students who are parentally-placed in the alternative location.   For non-Special Education students, Program codes 30, 40, 50, or Program 10 series should be used.  P</w:t>
      </w:r>
      <w:r>
        <w:rPr>
          <w:rFonts w:ascii="Calibri" w:eastAsia="Calibri" w:hAnsi="Calibri" w:cs="Calibri"/>
          <w:color w:val="000000"/>
          <w:sz w:val="22"/>
          <w:szCs w:val="22"/>
        </w:rPr>
        <w:t xml:space="preserve">rogram code 30 should be used for tuition payments (and other associated costs) for students to attend Career and Technical programs in other Districts or Charter Schools.   </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42"/>
        </w:numPr>
        <w:spacing w:line="240" w:lineRule="auto"/>
        <w:ind w:left="0" w:hanging="2"/>
        <w:jc w:val="both"/>
        <w:rPr>
          <w:rFonts w:ascii="Calibri" w:eastAsia="Calibri" w:hAnsi="Calibri" w:cs="Calibri"/>
          <w:sz w:val="22"/>
          <w:szCs w:val="22"/>
        </w:rPr>
      </w:pPr>
      <w:r>
        <w:rPr>
          <w:rFonts w:ascii="Calibri" w:eastAsia="Calibri" w:hAnsi="Calibri" w:cs="Calibri"/>
          <w:color w:val="000000"/>
          <w:sz w:val="22"/>
          <w:szCs w:val="22"/>
        </w:rPr>
        <w:t xml:space="preserve">Any Subject codes can be used with Tuition costs except 2701, 2702, 2703, 9700, </w:t>
      </w:r>
      <w:r>
        <w:rPr>
          <w:rFonts w:ascii="Calibri" w:eastAsia="Calibri" w:hAnsi="Calibri" w:cs="Calibri"/>
          <w:color w:val="000000"/>
          <w:sz w:val="22"/>
          <w:szCs w:val="22"/>
        </w:rPr>
        <w:t xml:space="preserve">9800, and 9900.  Subject Series 2100 is used for Special Education and 1400 series with Career and Technical programs.  </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44"/>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Only Job Classification code 0000 should be used with tuition payments.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PROCEDURES:</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Obtain an extract from the accounting system of </w:t>
      </w:r>
      <w:r>
        <w:rPr>
          <w:rFonts w:ascii="Calibri" w:eastAsia="Calibri" w:hAnsi="Calibri" w:cs="Calibri"/>
          <w:sz w:val="22"/>
          <w:szCs w:val="22"/>
        </w:rPr>
        <w:t xml:space="preserve">all transactions posted to the 55600 series object codes (tuition expenditures):  </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40"/>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Select a random sample of 10 transactions.  If tuition payments are posted to Program 10 (General Education), at least half of the sample (or five) shall be selected from P</w:t>
      </w:r>
      <w:r>
        <w:rPr>
          <w:rFonts w:ascii="Calibri" w:eastAsia="Calibri" w:hAnsi="Calibri" w:cs="Calibri"/>
          <w:sz w:val="22"/>
          <w:szCs w:val="22"/>
        </w:rPr>
        <w:t>rogram 10.  Describe procedures for selecting the random sample.  Transactions tested in Compliance Testing Requirement No. 1 may also be used to satisfy the compliance testing requirement for tuition payments if the selected transaction was posted to a tu</w:t>
      </w:r>
      <w:r>
        <w:rPr>
          <w:rFonts w:ascii="Calibri" w:eastAsia="Calibri" w:hAnsi="Calibri" w:cs="Calibri"/>
          <w:sz w:val="22"/>
          <w:szCs w:val="22"/>
        </w:rPr>
        <w:t>ition object code in the 55600 series.</w:t>
      </w: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     </w:t>
      </w:r>
    </w:p>
    <w:p w:rsidR="00A22F56" w:rsidRDefault="00506037">
      <w:pPr>
        <w:numPr>
          <w:ilvl w:val="0"/>
          <w:numId w:val="40"/>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Examine the billing invoices (and any additional supporting documentation submitted by the provider) to determine if the expenditure was appropriately coded based upon UCOA rules for tuition payments.  The segments of the account number to be tested includ</w:t>
      </w:r>
      <w:r>
        <w:rPr>
          <w:rFonts w:ascii="Calibri" w:eastAsia="Calibri" w:hAnsi="Calibri" w:cs="Calibri"/>
          <w:sz w:val="22"/>
          <w:szCs w:val="22"/>
        </w:rPr>
        <w:t xml:space="preserve">e the following: object, location, fund, function, program, subject, and job classification codes.  Particular attention shall be focused on the program segment and whether career and technical programs are appropriately coded as Program Code 30.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RESULTS</w:t>
      </w:r>
      <w:r>
        <w:rPr>
          <w:rFonts w:ascii="Calibri" w:eastAsia="Calibri" w:hAnsi="Calibri" w:cs="Calibri"/>
          <w:b/>
          <w:sz w:val="22"/>
          <w:szCs w:val="22"/>
        </w:rPr>
        <w:t>:</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lastRenderedPageBreak/>
        <w:t>Describe procedures for selecting the sample and describe how many transactions were selected from each program code.</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Describe results of compliance tests performed.  Each instance of noncompliance shall describe the transaction detail (including dolla</w:t>
      </w:r>
      <w:r>
        <w:rPr>
          <w:rFonts w:ascii="Calibri" w:eastAsia="Calibri" w:hAnsi="Calibri" w:cs="Calibri"/>
          <w:sz w:val="22"/>
          <w:szCs w:val="22"/>
        </w:rPr>
        <w:t>r amount) and the specific noncompliance observed.  Also, please note whether the error was corrected in the final upload file.</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b/>
          <w:sz w:val="22"/>
          <w:szCs w:val="22"/>
        </w:rPr>
        <w:t>SCHOOL RESPONSE:</w:t>
      </w:r>
      <w:r>
        <w:rPr>
          <w:rFonts w:ascii="Calibri" w:eastAsia="Calibri" w:hAnsi="Calibri" w:cs="Calibri"/>
          <w:sz w:val="22"/>
          <w:szCs w:val="22"/>
        </w:rPr>
        <w:t xml:space="preserve"> (if applicable)</w:t>
      </w: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highlight w:val="lightGray"/>
        </w:rPr>
      </w:pPr>
      <w:r>
        <w:rPr>
          <w:rFonts w:ascii="Calibri" w:eastAsia="Calibri" w:hAnsi="Calibri" w:cs="Calibri"/>
          <w:b/>
          <w:sz w:val="22"/>
          <w:szCs w:val="22"/>
          <w:highlight w:val="lightGray"/>
        </w:rPr>
        <w:t>REQUIREMENT 4:</w:t>
      </w:r>
    </w:p>
    <w:p w:rsidR="00A22F56" w:rsidRDefault="00A22F56">
      <w:pPr>
        <w:spacing w:line="240" w:lineRule="auto"/>
        <w:ind w:left="0" w:hanging="2"/>
        <w:rPr>
          <w:rFonts w:ascii="Calibri" w:eastAsia="Calibri" w:hAnsi="Calibri" w:cs="Calibri"/>
          <w:sz w:val="22"/>
          <w:szCs w:val="22"/>
        </w:rPr>
      </w:pPr>
    </w:p>
    <w:p w:rsidR="00A22F56" w:rsidRDefault="00506037">
      <w:pPr>
        <w:spacing w:line="240" w:lineRule="auto"/>
        <w:ind w:left="0" w:hanging="2"/>
        <w:rPr>
          <w:rFonts w:ascii="Calibri" w:eastAsia="Calibri" w:hAnsi="Calibri" w:cs="Calibri"/>
          <w:sz w:val="22"/>
          <w:szCs w:val="22"/>
        </w:rPr>
      </w:pPr>
      <w:r>
        <w:rPr>
          <w:rFonts w:ascii="Calibri" w:eastAsia="Calibri" w:hAnsi="Calibri" w:cs="Calibri"/>
          <w:sz w:val="22"/>
          <w:szCs w:val="22"/>
        </w:rPr>
        <w:t>Payroll costs are subject to various UCOA coding requirements.  Determine if</w:t>
      </w:r>
      <w:r>
        <w:rPr>
          <w:rFonts w:ascii="Calibri" w:eastAsia="Calibri" w:hAnsi="Calibri" w:cs="Calibri"/>
          <w:sz w:val="22"/>
          <w:szCs w:val="22"/>
        </w:rPr>
        <w:t xml:space="preserve"> the entity’s procedures for payroll related costs support the following UCOA requirements:</w:t>
      </w:r>
    </w:p>
    <w:p w:rsidR="00A22F56" w:rsidRDefault="00A22F56">
      <w:pPr>
        <w:spacing w:line="240" w:lineRule="auto"/>
        <w:ind w:left="0" w:hanging="2"/>
        <w:rPr>
          <w:rFonts w:ascii="Calibri" w:eastAsia="Calibri" w:hAnsi="Calibri" w:cs="Calibri"/>
          <w:sz w:val="22"/>
          <w:szCs w:val="22"/>
        </w:rPr>
      </w:pPr>
    </w:p>
    <w:p w:rsidR="00A22F56" w:rsidRDefault="00506037">
      <w:pPr>
        <w:numPr>
          <w:ilvl w:val="1"/>
          <w:numId w:val="26"/>
        </w:numPr>
        <w:spacing w:line="240" w:lineRule="auto"/>
        <w:ind w:left="0" w:hanging="2"/>
        <w:rPr>
          <w:rFonts w:ascii="Calibri" w:eastAsia="Calibri" w:hAnsi="Calibri" w:cs="Calibri"/>
          <w:sz w:val="22"/>
          <w:szCs w:val="22"/>
        </w:rPr>
      </w:pPr>
      <w:r>
        <w:rPr>
          <w:rFonts w:ascii="Calibri" w:eastAsia="Calibri" w:hAnsi="Calibri" w:cs="Calibri"/>
          <w:sz w:val="22"/>
          <w:szCs w:val="22"/>
        </w:rPr>
        <w:t>Benefit costs are to be charged in the same manner as are the directly-related compensation accounts – i.e., to the same Fund/Subfund, Location, Function, Program,</w:t>
      </w:r>
      <w:r>
        <w:rPr>
          <w:rFonts w:ascii="Calibri" w:eastAsia="Calibri" w:hAnsi="Calibri" w:cs="Calibri"/>
          <w:sz w:val="22"/>
          <w:szCs w:val="22"/>
        </w:rPr>
        <w:t xml:space="preserve"> Subject, and Job Classification and in the same proportion when allocated to more than one Fund/Subfund.  Alternatively, the Allocation Holding Accounts, Location 99999 and Subject 9900 may be used where allowed by the applicable Object Intersection Rule </w:t>
      </w:r>
      <w:r>
        <w:rPr>
          <w:rFonts w:ascii="Calibri" w:eastAsia="Calibri" w:hAnsi="Calibri" w:cs="Calibri"/>
          <w:sz w:val="22"/>
          <w:szCs w:val="22"/>
        </w:rPr>
        <w:t xml:space="preserve">for the Benefit Object selected.  Healthcare benefit costs are to be allocated consistent with the employees’ wages based on actual insurance premiums or, in the case of employers who are self-insured, based on working rates.  </w:t>
      </w:r>
    </w:p>
    <w:p w:rsidR="00A22F56" w:rsidRDefault="00A22F56">
      <w:pPr>
        <w:spacing w:line="240" w:lineRule="auto"/>
        <w:ind w:left="0" w:hanging="2"/>
        <w:rPr>
          <w:rFonts w:ascii="Calibri" w:eastAsia="Calibri" w:hAnsi="Calibri" w:cs="Calibri"/>
          <w:sz w:val="22"/>
          <w:szCs w:val="22"/>
        </w:rPr>
      </w:pPr>
    </w:p>
    <w:p w:rsidR="00A22F56" w:rsidRDefault="00506037">
      <w:pPr>
        <w:numPr>
          <w:ilvl w:val="1"/>
          <w:numId w:val="26"/>
        </w:numPr>
        <w:spacing w:line="240" w:lineRule="auto"/>
        <w:ind w:left="0" w:hanging="2"/>
        <w:rPr>
          <w:rFonts w:ascii="Calibri" w:eastAsia="Calibri" w:hAnsi="Calibri" w:cs="Calibri"/>
          <w:sz w:val="22"/>
          <w:szCs w:val="22"/>
        </w:rPr>
      </w:pPr>
      <w:r>
        <w:rPr>
          <w:rFonts w:ascii="Calibri" w:eastAsia="Calibri" w:hAnsi="Calibri" w:cs="Calibri"/>
          <w:sz w:val="22"/>
          <w:szCs w:val="22"/>
        </w:rPr>
        <w:t>The entity has made a deter</w:t>
      </w:r>
      <w:r>
        <w:rPr>
          <w:rFonts w:ascii="Calibri" w:eastAsia="Calibri" w:hAnsi="Calibri" w:cs="Calibri"/>
          <w:sz w:val="22"/>
          <w:szCs w:val="22"/>
        </w:rPr>
        <w:t>mination as to whether any employee meets the conditions that would require allocation of salary and benefits to more than one Fund/Subfund, Location, Function, Program, or Subject  and has supporting documentation for that determination, (e.g., department</w:t>
      </w:r>
      <w:r>
        <w:rPr>
          <w:rFonts w:ascii="Calibri" w:eastAsia="Calibri" w:hAnsi="Calibri" w:cs="Calibri"/>
          <w:sz w:val="22"/>
          <w:szCs w:val="22"/>
        </w:rPr>
        <w:t xml:space="preserve"> heads, nurses who also teach, etc.)</w:t>
      </w:r>
    </w:p>
    <w:p w:rsidR="00A22F56" w:rsidRDefault="00A22F56">
      <w:pPr>
        <w:spacing w:line="240" w:lineRule="auto"/>
        <w:ind w:left="0" w:hanging="2"/>
        <w:rPr>
          <w:rFonts w:ascii="Calibri" w:eastAsia="Calibri" w:hAnsi="Calibri" w:cs="Calibri"/>
          <w:sz w:val="22"/>
          <w:szCs w:val="22"/>
        </w:rPr>
      </w:pPr>
    </w:p>
    <w:p w:rsidR="00A22F56" w:rsidRDefault="00506037">
      <w:pPr>
        <w:numPr>
          <w:ilvl w:val="1"/>
          <w:numId w:val="26"/>
        </w:numPr>
        <w:spacing w:line="240" w:lineRule="auto"/>
        <w:ind w:left="0" w:hanging="2"/>
        <w:rPr>
          <w:rFonts w:ascii="Calibri" w:eastAsia="Calibri" w:hAnsi="Calibri" w:cs="Calibri"/>
          <w:sz w:val="22"/>
          <w:szCs w:val="22"/>
        </w:rPr>
      </w:pPr>
      <w:r>
        <w:rPr>
          <w:rFonts w:ascii="Calibri" w:eastAsia="Calibri" w:hAnsi="Calibri" w:cs="Calibri"/>
          <w:sz w:val="22"/>
          <w:szCs w:val="22"/>
        </w:rPr>
        <w:t xml:space="preserve">Wages and related benefits for </w:t>
      </w:r>
      <w:r>
        <w:rPr>
          <w:rFonts w:ascii="Calibri" w:eastAsia="Calibri" w:hAnsi="Calibri" w:cs="Calibri"/>
          <w:sz w:val="22"/>
          <w:szCs w:val="22"/>
          <w:u w:val="single"/>
        </w:rPr>
        <w:t>Short-term Substitute Teachers</w:t>
      </w:r>
      <w:r>
        <w:rPr>
          <w:rFonts w:ascii="Calibri" w:eastAsia="Calibri" w:hAnsi="Calibri" w:cs="Calibri"/>
          <w:sz w:val="22"/>
          <w:szCs w:val="22"/>
        </w:rPr>
        <w:t xml:space="preserve"> (Job Classifications 1295-1299) are charged only to Subject 0000 when used in conjunction with Function 112 (Substitutes).  For those same Job Classification accounts when used with Function 221 (Curriculum Development) and Function 222 (In-Services, Staf</w:t>
      </w:r>
      <w:r>
        <w:rPr>
          <w:rFonts w:ascii="Calibri" w:eastAsia="Calibri" w:hAnsi="Calibri" w:cs="Calibri"/>
          <w:sz w:val="22"/>
          <w:szCs w:val="22"/>
        </w:rPr>
        <w:t>f Development and Support), wages and related benefits are to be charged to the appropriate accounts for Fund/Subfund, Location, Program, and Subject which were used for the class for which the Substitute Teacher has been engaged to replace.  For the Subje</w:t>
      </w:r>
      <w:r>
        <w:rPr>
          <w:rFonts w:ascii="Calibri" w:eastAsia="Calibri" w:hAnsi="Calibri" w:cs="Calibri"/>
          <w:sz w:val="22"/>
          <w:szCs w:val="22"/>
        </w:rPr>
        <w:t>ct segment for example, use Subject 1500 for Middle or High School Math, 0011 for Elementary School Math, and 0200 for Art for all School types.</w:t>
      </w:r>
    </w:p>
    <w:p w:rsidR="00A22F56" w:rsidRDefault="00A22F56">
      <w:pPr>
        <w:spacing w:line="240" w:lineRule="auto"/>
        <w:ind w:left="0" w:hanging="2"/>
        <w:rPr>
          <w:rFonts w:ascii="Calibri" w:eastAsia="Calibri" w:hAnsi="Calibri" w:cs="Calibri"/>
          <w:sz w:val="22"/>
          <w:szCs w:val="22"/>
        </w:rPr>
      </w:pPr>
    </w:p>
    <w:p w:rsidR="00A22F56" w:rsidRDefault="00506037">
      <w:pPr>
        <w:numPr>
          <w:ilvl w:val="1"/>
          <w:numId w:val="26"/>
        </w:numPr>
        <w:spacing w:line="240" w:lineRule="auto"/>
        <w:ind w:left="0" w:hanging="2"/>
        <w:rPr>
          <w:rFonts w:ascii="Calibri" w:eastAsia="Calibri" w:hAnsi="Calibri" w:cs="Calibri"/>
          <w:sz w:val="22"/>
          <w:szCs w:val="22"/>
        </w:rPr>
      </w:pPr>
      <w:r>
        <w:rPr>
          <w:rFonts w:ascii="Calibri" w:eastAsia="Calibri" w:hAnsi="Calibri" w:cs="Calibri"/>
          <w:sz w:val="22"/>
          <w:szCs w:val="22"/>
          <w:u w:val="single"/>
        </w:rPr>
        <w:t>Long-term Substitute Teachers</w:t>
      </w:r>
      <w:r>
        <w:rPr>
          <w:rFonts w:ascii="Calibri" w:eastAsia="Calibri" w:hAnsi="Calibri" w:cs="Calibri"/>
          <w:sz w:val="22"/>
          <w:szCs w:val="22"/>
        </w:rPr>
        <w:t xml:space="preserve"> (Job Classification 1294) are to be charged to the appropriate accounts for Fund/Subfund, Location, Program, and Subject which were used for the class for which the Substitute Teacher has been engaged to replace.</w:t>
      </w:r>
    </w:p>
    <w:p w:rsidR="00A22F56" w:rsidRDefault="00A22F56">
      <w:pPr>
        <w:spacing w:line="240" w:lineRule="auto"/>
        <w:ind w:left="0" w:hanging="2"/>
        <w:rPr>
          <w:rFonts w:ascii="Calibri" w:eastAsia="Calibri" w:hAnsi="Calibri" w:cs="Calibri"/>
          <w:sz w:val="22"/>
          <w:szCs w:val="22"/>
        </w:rPr>
      </w:pPr>
    </w:p>
    <w:p w:rsidR="00A22F56" w:rsidRDefault="00506037">
      <w:pPr>
        <w:numPr>
          <w:ilvl w:val="1"/>
          <w:numId w:val="26"/>
        </w:numPr>
        <w:spacing w:line="240" w:lineRule="auto"/>
        <w:ind w:left="0" w:hanging="2"/>
        <w:rPr>
          <w:rFonts w:ascii="Calibri" w:eastAsia="Calibri" w:hAnsi="Calibri" w:cs="Calibri"/>
          <w:sz w:val="22"/>
          <w:szCs w:val="22"/>
        </w:rPr>
      </w:pPr>
      <w:r>
        <w:rPr>
          <w:rFonts w:ascii="Calibri" w:eastAsia="Calibri" w:hAnsi="Calibri" w:cs="Calibri"/>
          <w:sz w:val="22"/>
          <w:szCs w:val="22"/>
        </w:rPr>
        <w:t xml:space="preserve">Wages and benefits for </w:t>
      </w:r>
      <w:r>
        <w:rPr>
          <w:rFonts w:ascii="Calibri" w:eastAsia="Calibri" w:hAnsi="Calibri" w:cs="Calibri"/>
          <w:sz w:val="22"/>
          <w:szCs w:val="22"/>
          <w:u w:val="single"/>
        </w:rPr>
        <w:t>short-term substit</w:t>
      </w:r>
      <w:r>
        <w:rPr>
          <w:rFonts w:ascii="Calibri" w:eastAsia="Calibri" w:hAnsi="Calibri" w:cs="Calibri"/>
          <w:sz w:val="22"/>
          <w:szCs w:val="22"/>
          <w:u w:val="single"/>
        </w:rPr>
        <w:t>ute teacher support</w:t>
      </w:r>
      <w:r>
        <w:rPr>
          <w:rFonts w:ascii="Calibri" w:eastAsia="Calibri" w:hAnsi="Calibri" w:cs="Calibri"/>
          <w:sz w:val="22"/>
          <w:szCs w:val="22"/>
        </w:rPr>
        <w:t xml:space="preserve"> personnel are to be charged to the appropriate accounts for Fund/Subfund, Location, Program, and Subject which are applicable to the activity to which they are assigned.</w:t>
      </w:r>
    </w:p>
    <w:p w:rsidR="00A22F56" w:rsidRDefault="00A22F56">
      <w:pPr>
        <w:spacing w:line="240" w:lineRule="auto"/>
        <w:ind w:left="0" w:hanging="2"/>
        <w:rPr>
          <w:rFonts w:ascii="Calibri" w:eastAsia="Calibri" w:hAnsi="Calibri" w:cs="Calibri"/>
          <w:sz w:val="22"/>
          <w:szCs w:val="22"/>
        </w:rPr>
      </w:pPr>
    </w:p>
    <w:p w:rsidR="00A22F56" w:rsidRDefault="00506037">
      <w:pPr>
        <w:numPr>
          <w:ilvl w:val="1"/>
          <w:numId w:val="26"/>
        </w:numPr>
        <w:spacing w:line="240" w:lineRule="auto"/>
        <w:ind w:left="0" w:hanging="2"/>
        <w:rPr>
          <w:rFonts w:ascii="Calibri" w:eastAsia="Calibri" w:hAnsi="Calibri" w:cs="Calibri"/>
          <w:sz w:val="22"/>
          <w:szCs w:val="22"/>
        </w:rPr>
      </w:pPr>
      <w:r>
        <w:rPr>
          <w:rFonts w:ascii="Calibri" w:eastAsia="Calibri" w:hAnsi="Calibri" w:cs="Calibri"/>
          <w:sz w:val="22"/>
          <w:szCs w:val="22"/>
        </w:rPr>
        <w:t>Wages and related benefits for pre-school teachers are charged to</w:t>
      </w:r>
      <w:r>
        <w:rPr>
          <w:rFonts w:ascii="Calibri" w:eastAsia="Calibri" w:hAnsi="Calibri" w:cs="Calibri"/>
          <w:sz w:val="22"/>
          <w:szCs w:val="22"/>
        </w:rPr>
        <w:t xml:space="preserve"> the appropriate 09xxx location code.</w:t>
      </w:r>
    </w:p>
    <w:p w:rsidR="00A22F56" w:rsidRDefault="00A22F56">
      <w:pPr>
        <w:spacing w:line="240" w:lineRule="auto"/>
        <w:ind w:left="0" w:hanging="2"/>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PROCEDURES:</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Determine whether the entity’s payroll system directly interfaces with the entity’s general ledger accounting system and whether it is designed to post directly to the appropriate UCOA account or if there</w:t>
      </w:r>
      <w:r>
        <w:rPr>
          <w:rFonts w:ascii="Calibri" w:eastAsia="Calibri" w:hAnsi="Calibri" w:cs="Calibri"/>
          <w:sz w:val="22"/>
          <w:szCs w:val="22"/>
        </w:rPr>
        <w:t xml:space="preserve"> are a significant amount of manual adjustments and journal entries to allocate payroll related cost to the appropriate UCOA account.  Determine if the entity has reasonable and sufficient procedures in place to meet the payroll and related benefit require</w:t>
      </w:r>
      <w:r>
        <w:rPr>
          <w:rFonts w:ascii="Calibri" w:eastAsia="Calibri" w:hAnsi="Calibri" w:cs="Calibri"/>
          <w:sz w:val="22"/>
          <w:szCs w:val="22"/>
        </w:rPr>
        <w:t xml:space="preserve">ments of the UCOA.  </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lastRenderedPageBreak/>
        <w:t>Determine if pre-school is offered by the entity.</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Review one payroll period posting to assess compliance with UCOA payroll allocation requirements and appropriate location code for pre-school teachers (this may be satisfied through p</w:t>
      </w:r>
      <w:r>
        <w:rPr>
          <w:rFonts w:ascii="Calibri" w:eastAsia="Calibri" w:hAnsi="Calibri" w:cs="Calibri"/>
          <w:sz w:val="22"/>
          <w:szCs w:val="22"/>
        </w:rPr>
        <w:t>ayroll transactions tested in the sample of transactions tested for compliance in compliance testing requirement No. 1).  Describe sample selection process. (Please note - If the entity is using the intra-fund UCOA allocation tool, allocations are performe</w:t>
      </w:r>
      <w:r>
        <w:rPr>
          <w:rFonts w:ascii="Calibri" w:eastAsia="Calibri" w:hAnsi="Calibri" w:cs="Calibri"/>
          <w:sz w:val="22"/>
          <w:szCs w:val="22"/>
        </w:rPr>
        <w:t>d within the UCOA database and therefore testing is not required for benefit allocations made within that Fund/Subfund.)</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RESULTS: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Describe payroll system and whether the system interfaces directly with the general ledger system and whether it is designed</w:t>
      </w:r>
      <w:r>
        <w:rPr>
          <w:rFonts w:ascii="Calibri" w:eastAsia="Calibri" w:hAnsi="Calibri" w:cs="Calibri"/>
          <w:sz w:val="22"/>
          <w:szCs w:val="22"/>
        </w:rPr>
        <w:t xml:space="preserve"> to post directly to the proper UCOA code or if there are a significant amount of manual adjustments and journal entries to allocate payroll costs.  Conclude if the entity’s procedures are reasonable and sufficient to meet the payroll and related benefit r</w:t>
      </w:r>
      <w:r>
        <w:rPr>
          <w:rFonts w:ascii="Calibri" w:eastAsia="Calibri" w:hAnsi="Calibri" w:cs="Calibri"/>
          <w:sz w:val="22"/>
          <w:szCs w:val="22"/>
        </w:rPr>
        <w:t>equirements of UCOA.</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Indicate whether the school entity has a pre-school program.</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Describe results of compliance tests performed.  Each instance of noncompliance shall describe the transaction detail (including dollar amount) and the specific noncomplian</w:t>
      </w:r>
      <w:r>
        <w:rPr>
          <w:rFonts w:ascii="Calibri" w:eastAsia="Calibri" w:hAnsi="Calibri" w:cs="Calibri"/>
          <w:sz w:val="22"/>
          <w:szCs w:val="22"/>
        </w:rPr>
        <w:t>ce observed.  Also, please note whether the error was corrected in the final upload file.</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b/>
          <w:sz w:val="22"/>
          <w:szCs w:val="22"/>
        </w:rPr>
        <w:t>SCHOOL RESPONSE:</w:t>
      </w:r>
      <w:r>
        <w:rPr>
          <w:rFonts w:ascii="Calibri" w:eastAsia="Calibri" w:hAnsi="Calibri" w:cs="Calibri"/>
          <w:sz w:val="22"/>
          <w:szCs w:val="22"/>
        </w:rPr>
        <w:t xml:space="preserve"> (if applicable)</w:t>
      </w: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jc w:val="both"/>
        <w:rPr>
          <w:rFonts w:ascii="Calibri" w:eastAsia="Calibri" w:hAnsi="Calibri" w:cs="Calibri"/>
          <w:sz w:val="22"/>
          <w:szCs w:val="22"/>
        </w:rPr>
      </w:pP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highlight w:val="lightGray"/>
        </w:rPr>
      </w:pPr>
      <w:r>
        <w:rPr>
          <w:rFonts w:ascii="Calibri" w:eastAsia="Calibri" w:hAnsi="Calibri" w:cs="Calibri"/>
          <w:b/>
          <w:sz w:val="22"/>
          <w:szCs w:val="22"/>
          <w:highlight w:val="lightGray"/>
        </w:rPr>
        <w:t>REQUIREMENT 5:</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Professional Development costs are subject to various UCOA coding requirements.  Determine if the entity has complied with the UCOA requirements for reporting Professional Development costs for four of the five Object accounts:</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32"/>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Object 51113 represents the</w:t>
      </w:r>
      <w:r>
        <w:rPr>
          <w:rFonts w:ascii="Calibri" w:eastAsia="Calibri" w:hAnsi="Calibri" w:cs="Calibri"/>
          <w:sz w:val="22"/>
          <w:szCs w:val="22"/>
        </w:rPr>
        <w:t xml:space="preserve"> portion of a teacher’s regular salary, as specified in a contract or agreement, for professional days.</w:t>
      </w:r>
    </w:p>
    <w:p w:rsidR="00A22F56" w:rsidRDefault="00A22F56">
      <w:pPr>
        <w:spacing w:line="240" w:lineRule="auto"/>
        <w:ind w:left="0" w:hanging="2"/>
        <w:jc w:val="both"/>
        <w:rPr>
          <w:rFonts w:ascii="Calibri" w:eastAsia="Calibri" w:hAnsi="Calibri" w:cs="Calibri"/>
          <w:sz w:val="22"/>
          <w:szCs w:val="22"/>
        </w:rPr>
      </w:pPr>
    </w:p>
    <w:p w:rsidR="00A22F56" w:rsidRDefault="00506037">
      <w:pPr>
        <w:numPr>
          <w:ilvl w:val="0"/>
          <w:numId w:val="32"/>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Object 51302 represents additional payments made to a teacher for attending School-based professional development.</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32"/>
        </w:num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Object 51303 represents additional </w:t>
      </w:r>
      <w:r>
        <w:rPr>
          <w:rFonts w:ascii="Calibri" w:eastAsia="Calibri" w:hAnsi="Calibri" w:cs="Calibri"/>
          <w:sz w:val="22"/>
          <w:szCs w:val="22"/>
        </w:rPr>
        <w:t>payments made to a teacher for attending District-based professional development.</w:t>
      </w:r>
    </w:p>
    <w:p w:rsidR="00A22F56" w:rsidRDefault="00A22F56">
      <w:pPr>
        <w:spacing w:line="240" w:lineRule="auto"/>
        <w:ind w:left="0" w:hanging="2"/>
        <w:rPr>
          <w:rFonts w:ascii="Calibri" w:eastAsia="Calibri" w:hAnsi="Calibri" w:cs="Calibri"/>
          <w:sz w:val="22"/>
          <w:szCs w:val="22"/>
        </w:rPr>
      </w:pPr>
    </w:p>
    <w:p w:rsidR="00A22F56" w:rsidRDefault="00506037">
      <w:pPr>
        <w:numPr>
          <w:ilvl w:val="0"/>
          <w:numId w:val="32"/>
        </w:numPr>
        <w:spacing w:line="240" w:lineRule="auto"/>
        <w:ind w:left="0" w:hanging="2"/>
        <w:rPr>
          <w:rFonts w:ascii="Calibri" w:eastAsia="Calibri" w:hAnsi="Calibri" w:cs="Calibri"/>
          <w:sz w:val="22"/>
          <w:szCs w:val="22"/>
        </w:rPr>
      </w:pPr>
      <w:r>
        <w:rPr>
          <w:rFonts w:ascii="Calibri" w:eastAsia="Calibri" w:hAnsi="Calibri" w:cs="Calibri"/>
          <w:sz w:val="22"/>
          <w:szCs w:val="22"/>
        </w:rPr>
        <w:t>Object 53301 represents third-party vendor costs (on-site or off-site) for providing professional development.  For instruction-related personnel, the professional developme</w:t>
      </w:r>
      <w:r>
        <w:rPr>
          <w:rFonts w:ascii="Calibri" w:eastAsia="Calibri" w:hAnsi="Calibri" w:cs="Calibri"/>
          <w:sz w:val="22"/>
          <w:szCs w:val="22"/>
        </w:rPr>
        <w:t>nt costs should be posted to Function 222.  For all other personnel, the professional development costs should be posted to the same Function account as the base wages.</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PROCEDURES:</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Review union contracts and adopted budget to identify professional develo</w:t>
      </w:r>
      <w:r>
        <w:rPr>
          <w:rFonts w:ascii="Calibri" w:eastAsia="Calibri" w:hAnsi="Calibri" w:cs="Calibri"/>
          <w:sz w:val="22"/>
          <w:szCs w:val="22"/>
        </w:rPr>
        <w:t>pment offered to teachers.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Review payroll records to verify compliance with UCOA rules for Objects 51113, 51302, and 51303. (This may be satisfied by testing one payroll record which includes postings to these Object accounts and which may have been selected in compliance testing re</w:t>
      </w:r>
      <w:r>
        <w:rPr>
          <w:rFonts w:ascii="Calibri" w:eastAsia="Calibri" w:hAnsi="Calibri" w:cs="Calibri"/>
          <w:sz w:val="22"/>
          <w:szCs w:val="22"/>
        </w:rPr>
        <w:t>quirement 1 or 4).</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Describe procedures for selecting a sample of transactions posted to Object 53301 (Expenditures selected in Compliance Testing Requirement No. 1 may be also used to satisfy this compliance testing requirement).  Examine the supporting vendor invoice to ide</w:t>
      </w:r>
      <w:r>
        <w:rPr>
          <w:rFonts w:ascii="Calibri" w:eastAsia="Calibri" w:hAnsi="Calibri" w:cs="Calibri"/>
          <w:sz w:val="22"/>
          <w:szCs w:val="22"/>
        </w:rPr>
        <w:t xml:space="preserve">ntify the specific employee(s) receiving professional development services and trace the employee name to the payroll record to determine the Function account to which base wages (Object 51113) were charged.  Verify the professional development costs were </w:t>
      </w:r>
      <w:r>
        <w:rPr>
          <w:rFonts w:ascii="Calibri" w:eastAsia="Calibri" w:hAnsi="Calibri" w:cs="Calibri"/>
          <w:sz w:val="22"/>
          <w:szCs w:val="22"/>
        </w:rPr>
        <w:t>posted to the proper Function account based on the UCOA rules for the Function Series.</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Describe any additional procedures performed.</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b/>
          <w:sz w:val="22"/>
          <w:szCs w:val="22"/>
        </w:rPr>
      </w:pPr>
      <w:r>
        <w:rPr>
          <w:rFonts w:ascii="Calibri" w:eastAsia="Calibri" w:hAnsi="Calibri" w:cs="Calibri"/>
          <w:b/>
          <w:sz w:val="22"/>
          <w:szCs w:val="22"/>
        </w:rPr>
        <w:t>RESULTS:</w:t>
      </w:r>
    </w:p>
    <w:p w:rsidR="00A22F56" w:rsidRDefault="00A22F56">
      <w:pPr>
        <w:spacing w:line="240" w:lineRule="auto"/>
        <w:ind w:left="0" w:hanging="2"/>
        <w:jc w:val="both"/>
        <w:rPr>
          <w:rFonts w:ascii="Calibri" w:eastAsia="Calibri" w:hAnsi="Calibri" w:cs="Calibri"/>
          <w:b/>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sz w:val="22"/>
          <w:szCs w:val="22"/>
        </w:rPr>
        <w:t xml:space="preserve">Describe results of compliance tests performed.  Each instance of noncompliance shall describe the transaction </w:t>
      </w:r>
      <w:r>
        <w:rPr>
          <w:rFonts w:ascii="Calibri" w:eastAsia="Calibri" w:hAnsi="Calibri" w:cs="Calibri"/>
          <w:sz w:val="22"/>
          <w:szCs w:val="22"/>
        </w:rPr>
        <w:t>detail (including dollar amount) and the specific noncompliance observed.  Also, please note whether the error was corrected in the final upload file.</w:t>
      </w:r>
    </w:p>
    <w:p w:rsidR="00A22F56" w:rsidRDefault="00A22F56">
      <w:pPr>
        <w:spacing w:line="240" w:lineRule="auto"/>
        <w:ind w:left="0" w:hanging="2"/>
        <w:jc w:val="both"/>
        <w:rPr>
          <w:rFonts w:ascii="Calibri" w:eastAsia="Calibri" w:hAnsi="Calibri" w:cs="Calibri"/>
          <w:sz w:val="22"/>
          <w:szCs w:val="22"/>
        </w:rPr>
      </w:pPr>
    </w:p>
    <w:p w:rsidR="00A22F56" w:rsidRDefault="00506037">
      <w:pPr>
        <w:spacing w:line="240" w:lineRule="auto"/>
        <w:ind w:left="0" w:hanging="2"/>
        <w:jc w:val="both"/>
        <w:rPr>
          <w:rFonts w:ascii="Calibri" w:eastAsia="Calibri" w:hAnsi="Calibri" w:cs="Calibri"/>
          <w:sz w:val="22"/>
          <w:szCs w:val="22"/>
        </w:rPr>
      </w:pPr>
      <w:r>
        <w:rPr>
          <w:rFonts w:ascii="Calibri" w:eastAsia="Calibri" w:hAnsi="Calibri" w:cs="Calibri"/>
          <w:b/>
          <w:sz w:val="22"/>
          <w:szCs w:val="22"/>
        </w:rPr>
        <w:t>SCHOOL RESPONSE:</w:t>
      </w:r>
      <w:r>
        <w:rPr>
          <w:rFonts w:ascii="Calibri" w:eastAsia="Calibri" w:hAnsi="Calibri" w:cs="Calibri"/>
          <w:sz w:val="22"/>
          <w:szCs w:val="22"/>
        </w:rPr>
        <w:t xml:space="preserve"> (if applicable)</w:t>
      </w:r>
    </w:p>
    <w:p w:rsidR="00A22F56" w:rsidRDefault="00A22F56">
      <w:pPr>
        <w:spacing w:after="240" w:line="240" w:lineRule="auto"/>
        <w:ind w:left="0" w:hanging="2"/>
        <w:rPr>
          <w:sz w:val="22"/>
          <w:szCs w:val="22"/>
        </w:rPr>
      </w:pPr>
    </w:p>
    <w:p w:rsidR="00A22F56" w:rsidRDefault="00506037">
      <w:pPr>
        <w:tabs>
          <w:tab w:val="left" w:pos="1080"/>
        </w:tabs>
        <w:spacing w:line="240" w:lineRule="auto"/>
        <w:ind w:left="0" w:hanging="2"/>
        <w:jc w:val="center"/>
        <w:rPr>
          <w:b/>
          <w:i/>
          <w:sz w:val="22"/>
          <w:szCs w:val="22"/>
        </w:rPr>
      </w:pPr>
      <w:r>
        <w:rPr>
          <w:b/>
          <w:i/>
          <w:sz w:val="22"/>
          <w:szCs w:val="22"/>
        </w:rPr>
        <w:t>* * * * *</w:t>
      </w:r>
    </w:p>
    <w:p w:rsidR="00A22F56" w:rsidRDefault="00A22F56">
      <w:pPr>
        <w:tabs>
          <w:tab w:val="left" w:pos="720"/>
        </w:tabs>
        <w:ind w:left="1" w:hanging="3"/>
        <w:jc w:val="center"/>
        <w:rPr>
          <w:sz w:val="28"/>
          <w:szCs w:val="28"/>
        </w:rPr>
      </w:pPr>
    </w:p>
    <w:sectPr w:rsidR="00A22F56">
      <w:footerReference w:type="default" r:id="rId1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037" w:rsidRDefault="00506037">
      <w:pPr>
        <w:spacing w:line="240" w:lineRule="auto"/>
        <w:ind w:left="0" w:hanging="2"/>
      </w:pPr>
      <w:r>
        <w:separator/>
      </w:r>
    </w:p>
  </w:endnote>
  <w:endnote w:type="continuationSeparator" w:id="0">
    <w:p w:rsidR="00506037" w:rsidRDefault="0050603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F56" w:rsidRDefault="00506037">
    <w:pPr>
      <w:pBdr>
        <w:top w:val="nil"/>
        <w:left w:val="nil"/>
        <w:bottom w:val="nil"/>
        <w:right w:val="nil"/>
        <w:between w:val="nil"/>
      </w:pBd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sidR="00370348">
      <w:rPr>
        <w:color w:val="000000"/>
      </w:rPr>
      <w:fldChar w:fldCharType="separate"/>
    </w:r>
    <w:r w:rsidR="00370348">
      <w:rPr>
        <w:noProof/>
        <w:color w:val="000000"/>
      </w:rPr>
      <w:t>4</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037" w:rsidRDefault="00506037">
      <w:pPr>
        <w:spacing w:line="240" w:lineRule="auto"/>
        <w:ind w:left="0" w:hanging="2"/>
      </w:pPr>
      <w:r>
        <w:separator/>
      </w:r>
    </w:p>
  </w:footnote>
  <w:footnote w:type="continuationSeparator" w:id="0">
    <w:p w:rsidR="00506037" w:rsidRDefault="00506037">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62646"/>
    <w:multiLevelType w:val="multilevel"/>
    <w:tmpl w:val="FBEC1DB0"/>
    <w:lvl w:ilvl="0">
      <w:start w:val="1"/>
      <w:numFmt w:val="decimal"/>
      <w:lvlText w:val="%1."/>
      <w:lvlJc w:val="right"/>
      <w:pPr>
        <w:ind w:left="54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52052F3"/>
    <w:multiLevelType w:val="multilevel"/>
    <w:tmpl w:val="F3384FA0"/>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 w15:restartNumberingAfterBreak="0">
    <w:nsid w:val="05454A70"/>
    <w:multiLevelType w:val="multilevel"/>
    <w:tmpl w:val="F928304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661699A"/>
    <w:multiLevelType w:val="multilevel"/>
    <w:tmpl w:val="FBA0EE66"/>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 w15:restartNumberingAfterBreak="0">
    <w:nsid w:val="06FE7295"/>
    <w:multiLevelType w:val="multilevel"/>
    <w:tmpl w:val="150CE5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CE27D63"/>
    <w:multiLevelType w:val="multilevel"/>
    <w:tmpl w:val="0AAAA16C"/>
    <w:lvl w:ilvl="0">
      <w:start w:val="1"/>
      <w:numFmt w:val="decimal"/>
      <w:lvlText w:val="%1."/>
      <w:lvlJc w:val="left"/>
      <w:pPr>
        <w:ind w:left="360" w:hanging="360"/>
      </w:pPr>
    </w:lvl>
    <w:lvl w:ilvl="1">
      <w:start w:val="1"/>
      <w:numFmt w:val="bullet"/>
      <w:lvlText w:val="●"/>
      <w:lvlJc w:val="left"/>
      <w:pPr>
        <w:ind w:left="1440" w:hanging="720"/>
      </w:pPr>
      <w:rPr>
        <w:rFonts w:ascii="Noto Sans Symbols" w:eastAsia="Noto Sans Symbols" w:hAnsi="Noto Sans Symbols" w:cs="Noto Sans Symbols"/>
        <w:color w:val="000000"/>
        <w:sz w:val="16"/>
        <w:szCs w:val="16"/>
      </w:rPr>
    </w:lvl>
    <w:lvl w:ilvl="2">
      <w:start w:val="1"/>
      <w:numFmt w:val="decimal"/>
      <w:lvlText w:val="%3)"/>
      <w:lvlJc w:val="left"/>
      <w:pPr>
        <w:ind w:left="1980" w:hanging="360"/>
      </w:pPr>
    </w:lvl>
    <w:lvl w:ilvl="3">
      <w:start w:val="325"/>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E522412"/>
    <w:multiLevelType w:val="multilevel"/>
    <w:tmpl w:val="14289822"/>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 w15:restartNumberingAfterBreak="0">
    <w:nsid w:val="10025B6C"/>
    <w:multiLevelType w:val="multilevel"/>
    <w:tmpl w:val="2CD073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117020DC"/>
    <w:multiLevelType w:val="multilevel"/>
    <w:tmpl w:val="A306878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12EF1037"/>
    <w:multiLevelType w:val="multilevel"/>
    <w:tmpl w:val="7514F4C8"/>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0" w15:restartNumberingAfterBreak="0">
    <w:nsid w:val="15AF05BC"/>
    <w:multiLevelType w:val="multilevel"/>
    <w:tmpl w:val="522CB352"/>
    <w:lvl w:ilvl="0">
      <w:start w:val="6"/>
      <w:numFmt w:val="upperLetter"/>
      <w:lvlText w:val="%1."/>
      <w:lvlJc w:val="left"/>
      <w:pPr>
        <w:ind w:left="600" w:hanging="360"/>
      </w:pPr>
      <w:rPr>
        <w:rFonts w:ascii="Arial" w:eastAsia="Arial" w:hAnsi="Arial" w:cs="Arial"/>
        <w:b/>
        <w:vertAlign w:val="baseline"/>
      </w:rPr>
    </w:lvl>
    <w:lvl w:ilvl="1">
      <w:start w:val="1"/>
      <w:numFmt w:val="lowerLetter"/>
      <w:lvlText w:val="%2."/>
      <w:lvlJc w:val="left"/>
      <w:pPr>
        <w:ind w:left="1320" w:hanging="360"/>
      </w:pPr>
      <w:rPr>
        <w:vertAlign w:val="baseline"/>
      </w:rPr>
    </w:lvl>
    <w:lvl w:ilvl="2">
      <w:start w:val="1"/>
      <w:numFmt w:val="lowerRoman"/>
      <w:lvlText w:val="%3."/>
      <w:lvlJc w:val="right"/>
      <w:pPr>
        <w:ind w:left="2040" w:hanging="180"/>
      </w:pPr>
      <w:rPr>
        <w:vertAlign w:val="baseline"/>
      </w:rPr>
    </w:lvl>
    <w:lvl w:ilvl="3">
      <w:start w:val="1"/>
      <w:numFmt w:val="decimal"/>
      <w:lvlText w:val="%4."/>
      <w:lvlJc w:val="left"/>
      <w:pPr>
        <w:ind w:left="2760" w:hanging="360"/>
      </w:pPr>
      <w:rPr>
        <w:vertAlign w:val="baseline"/>
      </w:rPr>
    </w:lvl>
    <w:lvl w:ilvl="4">
      <w:start w:val="1"/>
      <w:numFmt w:val="lowerLetter"/>
      <w:lvlText w:val="%5."/>
      <w:lvlJc w:val="left"/>
      <w:pPr>
        <w:ind w:left="3480" w:hanging="360"/>
      </w:pPr>
      <w:rPr>
        <w:vertAlign w:val="baseline"/>
      </w:rPr>
    </w:lvl>
    <w:lvl w:ilvl="5">
      <w:start w:val="1"/>
      <w:numFmt w:val="lowerRoman"/>
      <w:lvlText w:val="%6."/>
      <w:lvlJc w:val="right"/>
      <w:pPr>
        <w:ind w:left="4200" w:hanging="180"/>
      </w:pPr>
      <w:rPr>
        <w:vertAlign w:val="baseline"/>
      </w:rPr>
    </w:lvl>
    <w:lvl w:ilvl="6">
      <w:start w:val="1"/>
      <w:numFmt w:val="decimal"/>
      <w:lvlText w:val="%7."/>
      <w:lvlJc w:val="left"/>
      <w:pPr>
        <w:ind w:left="4920" w:hanging="360"/>
      </w:pPr>
      <w:rPr>
        <w:vertAlign w:val="baseline"/>
      </w:rPr>
    </w:lvl>
    <w:lvl w:ilvl="7">
      <w:start w:val="1"/>
      <w:numFmt w:val="lowerLetter"/>
      <w:lvlText w:val="%8."/>
      <w:lvlJc w:val="left"/>
      <w:pPr>
        <w:ind w:left="5640" w:hanging="360"/>
      </w:pPr>
      <w:rPr>
        <w:vertAlign w:val="baseline"/>
      </w:rPr>
    </w:lvl>
    <w:lvl w:ilvl="8">
      <w:start w:val="1"/>
      <w:numFmt w:val="lowerRoman"/>
      <w:lvlText w:val="%9."/>
      <w:lvlJc w:val="right"/>
      <w:pPr>
        <w:ind w:left="6360" w:hanging="180"/>
      </w:pPr>
      <w:rPr>
        <w:vertAlign w:val="baseline"/>
      </w:rPr>
    </w:lvl>
  </w:abstractNum>
  <w:abstractNum w:abstractNumId="11" w15:restartNumberingAfterBreak="0">
    <w:nsid w:val="167F2F41"/>
    <w:multiLevelType w:val="multilevel"/>
    <w:tmpl w:val="13BA3B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1D7962E7"/>
    <w:multiLevelType w:val="multilevel"/>
    <w:tmpl w:val="2B20B8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0EF2572"/>
    <w:multiLevelType w:val="multilevel"/>
    <w:tmpl w:val="917E2340"/>
    <w:lvl w:ilvl="0">
      <w:start w:val="1"/>
      <w:numFmt w:val="decimal"/>
      <w:lvlText w:val="%1."/>
      <w:lvlJc w:val="left"/>
      <w:pPr>
        <w:ind w:left="720" w:hanging="360"/>
      </w:pPr>
      <w:rPr>
        <w:vertAlign w:val="baseline"/>
      </w:rPr>
    </w:lvl>
    <w:lvl w:ilvl="1">
      <w:start w:val="1"/>
      <w:numFmt w:val="lowerLetter"/>
      <w:lvlText w:val="%2."/>
      <w:lvlJc w:val="left"/>
      <w:pPr>
        <w:ind w:left="1440" w:hanging="360"/>
      </w:pPr>
      <w:rPr>
        <w:b w:val="0"/>
        <w:vertAlign w:val="baseline"/>
      </w:rPr>
    </w:lvl>
    <w:lvl w:ilvl="2">
      <w:start w:val="1"/>
      <w:numFmt w:val="decimal"/>
      <w:lvlText w:val="2."/>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21408D4"/>
    <w:multiLevelType w:val="multilevel"/>
    <w:tmpl w:val="D9FE61F0"/>
    <w:lvl w:ilvl="0">
      <w:start w:val="1"/>
      <w:numFmt w:val="decimal"/>
      <w:lvlText w:val="%1."/>
      <w:lvlJc w:val="left"/>
      <w:pPr>
        <w:ind w:left="720" w:hanging="360"/>
      </w:pPr>
      <w:rPr>
        <w:vertAlign w:val="baseline"/>
      </w:rPr>
    </w:lvl>
    <w:lvl w:ilvl="1">
      <w:start w:val="2"/>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24B91399"/>
    <w:multiLevelType w:val="multilevel"/>
    <w:tmpl w:val="321A688E"/>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6" w15:restartNumberingAfterBreak="0">
    <w:nsid w:val="26D20DA7"/>
    <w:multiLevelType w:val="multilevel"/>
    <w:tmpl w:val="D8A00888"/>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C2663C"/>
    <w:multiLevelType w:val="multilevel"/>
    <w:tmpl w:val="B7AA6B0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2877060A"/>
    <w:multiLevelType w:val="multilevel"/>
    <w:tmpl w:val="B7281D82"/>
    <w:lvl w:ilvl="0">
      <w:start w:val="1"/>
      <w:numFmt w:val="bullet"/>
      <w:lvlText w:val="❖"/>
      <w:lvlJc w:val="left"/>
      <w:pPr>
        <w:ind w:left="1080" w:hanging="360"/>
      </w:pPr>
      <w:rPr>
        <w:rFonts w:ascii="Noto Sans Symbols" w:eastAsia="Noto Sans Symbols" w:hAnsi="Noto Sans Symbols" w:cs="Noto Sans Symbols"/>
        <w:color w:val="000000"/>
        <w:sz w:val="16"/>
        <w:szCs w:val="16"/>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29DA4242"/>
    <w:multiLevelType w:val="multilevel"/>
    <w:tmpl w:val="46103102"/>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2B220125"/>
    <w:multiLevelType w:val="multilevel"/>
    <w:tmpl w:val="47748220"/>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E564D90"/>
    <w:multiLevelType w:val="multilevel"/>
    <w:tmpl w:val="88CC612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2FB32295"/>
    <w:multiLevelType w:val="multilevel"/>
    <w:tmpl w:val="D980C1D0"/>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A412F2"/>
    <w:multiLevelType w:val="multilevel"/>
    <w:tmpl w:val="EDE28E78"/>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5D57CAA"/>
    <w:multiLevelType w:val="multilevel"/>
    <w:tmpl w:val="C9B479B4"/>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5E01D86"/>
    <w:multiLevelType w:val="multilevel"/>
    <w:tmpl w:val="CD6C63B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37267022"/>
    <w:multiLevelType w:val="multilevel"/>
    <w:tmpl w:val="1C9E4E62"/>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86B1D24"/>
    <w:multiLevelType w:val="multilevel"/>
    <w:tmpl w:val="2FECF9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A2440F9"/>
    <w:multiLevelType w:val="multilevel"/>
    <w:tmpl w:val="B0CC0B3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3DBB7B7B"/>
    <w:multiLevelType w:val="multilevel"/>
    <w:tmpl w:val="D7FEABC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0" w15:restartNumberingAfterBreak="0">
    <w:nsid w:val="3E0F7A22"/>
    <w:multiLevelType w:val="multilevel"/>
    <w:tmpl w:val="935CCAFE"/>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1" w15:restartNumberingAfterBreak="0">
    <w:nsid w:val="3F1133BC"/>
    <w:multiLevelType w:val="multilevel"/>
    <w:tmpl w:val="D4DC8C04"/>
    <w:lvl w:ilvl="0">
      <w:start w:val="1"/>
      <w:numFmt w:val="bullet"/>
      <w:lvlText w:val="●"/>
      <w:lvlJc w:val="left"/>
      <w:pPr>
        <w:ind w:left="1440" w:hanging="360"/>
      </w:pPr>
      <w:rPr>
        <w:rFonts w:ascii="Noto Sans Symbols" w:eastAsia="Noto Sans Symbols" w:hAnsi="Noto Sans Symbols" w:cs="Noto Sans Symbols"/>
        <w:color w:val="000000"/>
        <w:sz w:val="16"/>
        <w:szCs w:val="16"/>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40BD64F0"/>
    <w:multiLevelType w:val="multilevel"/>
    <w:tmpl w:val="1AAA639E"/>
    <w:lvl w:ilvl="0">
      <w:start w:val="1"/>
      <w:numFmt w:val="lowerLetter"/>
      <w:lvlText w:val="%1."/>
      <w:lvlJc w:val="left"/>
      <w:pPr>
        <w:ind w:left="1440" w:hanging="360"/>
      </w:pPr>
      <w:rPr>
        <w:vertAlign w:val="baseline"/>
      </w:rPr>
    </w:lvl>
    <w:lvl w:ilvl="1">
      <w:start w:val="1"/>
      <w:numFmt w:val="decimal"/>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3" w15:restartNumberingAfterBreak="0">
    <w:nsid w:val="43543C03"/>
    <w:multiLevelType w:val="multilevel"/>
    <w:tmpl w:val="214E2A8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4" w15:restartNumberingAfterBreak="0">
    <w:nsid w:val="43F41F6E"/>
    <w:multiLevelType w:val="multilevel"/>
    <w:tmpl w:val="D39C9470"/>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8BD2DE5"/>
    <w:multiLevelType w:val="multilevel"/>
    <w:tmpl w:val="AFC6D5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4932485B"/>
    <w:multiLevelType w:val="multilevel"/>
    <w:tmpl w:val="3A8C7A14"/>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BFE032C"/>
    <w:multiLevelType w:val="multilevel"/>
    <w:tmpl w:val="A2ECDECA"/>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8" w15:restartNumberingAfterBreak="0">
    <w:nsid w:val="4D7F557D"/>
    <w:multiLevelType w:val="multilevel"/>
    <w:tmpl w:val="D84217C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56ED0786"/>
    <w:multiLevelType w:val="multilevel"/>
    <w:tmpl w:val="C214FF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599F78F4"/>
    <w:multiLevelType w:val="multilevel"/>
    <w:tmpl w:val="F7CE3140"/>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1" w15:restartNumberingAfterBreak="0">
    <w:nsid w:val="5A1D4E61"/>
    <w:multiLevelType w:val="multilevel"/>
    <w:tmpl w:val="45BCC74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2" w15:restartNumberingAfterBreak="0">
    <w:nsid w:val="5B5A4E19"/>
    <w:multiLevelType w:val="multilevel"/>
    <w:tmpl w:val="D626120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B9645C5"/>
    <w:multiLevelType w:val="multilevel"/>
    <w:tmpl w:val="BF64F34A"/>
    <w:lvl w:ilvl="0">
      <w:start w:val="1"/>
      <w:numFmt w:val="bullet"/>
      <w:lvlText w:val="●"/>
      <w:lvlJc w:val="left"/>
      <w:pPr>
        <w:ind w:left="1440" w:hanging="360"/>
      </w:pPr>
      <w:rPr>
        <w:rFonts w:ascii="Noto Sans Symbols" w:eastAsia="Noto Sans Symbols" w:hAnsi="Noto Sans Symbols" w:cs="Noto Sans Symbols"/>
        <w:color w:val="000000"/>
        <w:sz w:val="16"/>
        <w:szCs w:val="16"/>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4" w15:restartNumberingAfterBreak="0">
    <w:nsid w:val="5C951808"/>
    <w:multiLevelType w:val="multilevel"/>
    <w:tmpl w:val="30745D74"/>
    <w:lvl w:ilvl="0">
      <w:start w:val="1"/>
      <w:numFmt w:val="decimal"/>
      <w:lvlText w:val="%1)"/>
      <w:lvlJc w:val="left"/>
      <w:pPr>
        <w:ind w:left="2160" w:hanging="360"/>
      </w:pPr>
      <w:rPr>
        <w:vertAlign w:val="baseline"/>
      </w:rPr>
    </w:lvl>
    <w:lvl w:ilvl="1">
      <w:start w:val="1"/>
      <w:numFmt w:val="lowerLetter"/>
      <w:lvlText w:val="%2."/>
      <w:lvlJc w:val="left"/>
      <w:pPr>
        <w:ind w:left="2880" w:hanging="360"/>
      </w:pPr>
      <w:rPr>
        <w:vertAlign w:val="baseline"/>
      </w:rPr>
    </w:lvl>
    <w:lvl w:ilvl="2">
      <w:start w:val="1"/>
      <w:numFmt w:val="lowerRoman"/>
      <w:lvlText w:val="%3."/>
      <w:lvlJc w:val="right"/>
      <w:pPr>
        <w:ind w:left="3600" w:hanging="180"/>
      </w:pPr>
      <w:rPr>
        <w:vertAlign w:val="baseline"/>
      </w:rPr>
    </w:lvl>
    <w:lvl w:ilvl="3">
      <w:start w:val="1"/>
      <w:numFmt w:val="decimal"/>
      <w:lvlText w:val="%4."/>
      <w:lvlJc w:val="left"/>
      <w:pPr>
        <w:ind w:left="4320" w:hanging="360"/>
      </w:pPr>
      <w:rPr>
        <w:vertAlign w:val="baseline"/>
      </w:rPr>
    </w:lvl>
    <w:lvl w:ilvl="4">
      <w:start w:val="1"/>
      <w:numFmt w:val="lowerLetter"/>
      <w:lvlText w:val="%5."/>
      <w:lvlJc w:val="left"/>
      <w:pPr>
        <w:ind w:left="5040" w:hanging="360"/>
      </w:pPr>
      <w:rPr>
        <w:vertAlign w:val="baseline"/>
      </w:rPr>
    </w:lvl>
    <w:lvl w:ilvl="5">
      <w:start w:val="1"/>
      <w:numFmt w:val="lowerRoman"/>
      <w:lvlText w:val="%6."/>
      <w:lvlJc w:val="right"/>
      <w:pPr>
        <w:ind w:left="5760" w:hanging="180"/>
      </w:pPr>
      <w:rPr>
        <w:vertAlign w:val="baseline"/>
      </w:rPr>
    </w:lvl>
    <w:lvl w:ilvl="6">
      <w:start w:val="1"/>
      <w:numFmt w:val="decimal"/>
      <w:lvlText w:val="%7."/>
      <w:lvlJc w:val="left"/>
      <w:pPr>
        <w:ind w:left="6480" w:hanging="360"/>
      </w:pPr>
      <w:rPr>
        <w:vertAlign w:val="baseline"/>
      </w:rPr>
    </w:lvl>
    <w:lvl w:ilvl="7">
      <w:start w:val="1"/>
      <w:numFmt w:val="lowerLetter"/>
      <w:lvlText w:val="%8."/>
      <w:lvlJc w:val="left"/>
      <w:pPr>
        <w:ind w:left="7200" w:hanging="360"/>
      </w:pPr>
      <w:rPr>
        <w:vertAlign w:val="baseline"/>
      </w:rPr>
    </w:lvl>
    <w:lvl w:ilvl="8">
      <w:start w:val="1"/>
      <w:numFmt w:val="lowerRoman"/>
      <w:lvlText w:val="%9."/>
      <w:lvlJc w:val="right"/>
      <w:pPr>
        <w:ind w:left="7920" w:hanging="180"/>
      </w:pPr>
      <w:rPr>
        <w:vertAlign w:val="baseline"/>
      </w:rPr>
    </w:lvl>
  </w:abstractNum>
  <w:abstractNum w:abstractNumId="45" w15:restartNumberingAfterBreak="0">
    <w:nsid w:val="5EF4146D"/>
    <w:multiLevelType w:val="multilevel"/>
    <w:tmpl w:val="BC966C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15:restartNumberingAfterBreak="0">
    <w:nsid w:val="5F411D36"/>
    <w:multiLevelType w:val="multilevel"/>
    <w:tmpl w:val="9C4A424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15:restartNumberingAfterBreak="0">
    <w:nsid w:val="5FC833AD"/>
    <w:multiLevelType w:val="multilevel"/>
    <w:tmpl w:val="64CA021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8" w15:restartNumberingAfterBreak="0">
    <w:nsid w:val="61B81960"/>
    <w:multiLevelType w:val="multilevel"/>
    <w:tmpl w:val="6C2EB994"/>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9" w15:restartNumberingAfterBreak="0">
    <w:nsid w:val="6CF25EF6"/>
    <w:multiLevelType w:val="multilevel"/>
    <w:tmpl w:val="7A1AAD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15:restartNumberingAfterBreak="0">
    <w:nsid w:val="72114B37"/>
    <w:multiLevelType w:val="multilevel"/>
    <w:tmpl w:val="A448DEE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15:restartNumberingAfterBreak="0">
    <w:nsid w:val="72D346AA"/>
    <w:multiLevelType w:val="multilevel"/>
    <w:tmpl w:val="6AB4E5BC"/>
    <w:lvl w:ilvl="0">
      <w:start w:val="1"/>
      <w:numFmt w:val="lowerLetter"/>
      <w:lvlText w:val="%1."/>
      <w:lvlJc w:val="left"/>
      <w:pPr>
        <w:ind w:left="720" w:hanging="360"/>
      </w:pPr>
      <w:rPr>
        <w:rFonts w:ascii="Calibri" w:eastAsia="Calibri" w:hAnsi="Calibri" w:cs="Calibri"/>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4775BF8"/>
    <w:multiLevelType w:val="multilevel"/>
    <w:tmpl w:val="ED4403CE"/>
    <w:lvl w:ilvl="0">
      <w:start w:val="1"/>
      <w:numFmt w:val="bullet"/>
      <w:lvlText w:val="●"/>
      <w:lvlJc w:val="left"/>
      <w:pPr>
        <w:ind w:left="720" w:hanging="360"/>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4D84C94"/>
    <w:multiLevelType w:val="multilevel"/>
    <w:tmpl w:val="227412C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15:restartNumberingAfterBreak="0">
    <w:nsid w:val="74F231DA"/>
    <w:multiLevelType w:val="multilevel"/>
    <w:tmpl w:val="4B7C6CA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5" w15:restartNumberingAfterBreak="0">
    <w:nsid w:val="75371887"/>
    <w:multiLevelType w:val="multilevel"/>
    <w:tmpl w:val="35E4C5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6" w15:restartNumberingAfterBreak="0">
    <w:nsid w:val="776C2A4A"/>
    <w:multiLevelType w:val="multilevel"/>
    <w:tmpl w:val="391428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AF44265"/>
    <w:multiLevelType w:val="multilevel"/>
    <w:tmpl w:val="A4F60F6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8" w15:restartNumberingAfterBreak="0">
    <w:nsid w:val="7B4E2224"/>
    <w:multiLevelType w:val="multilevel"/>
    <w:tmpl w:val="12F4794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9" w15:restartNumberingAfterBreak="0">
    <w:nsid w:val="7C2611B0"/>
    <w:multiLevelType w:val="multilevel"/>
    <w:tmpl w:val="7F1608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0" w15:restartNumberingAfterBreak="0">
    <w:nsid w:val="7CAD39ED"/>
    <w:multiLevelType w:val="multilevel"/>
    <w:tmpl w:val="FB9066C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1" w15:restartNumberingAfterBreak="0">
    <w:nsid w:val="7DAE551E"/>
    <w:multiLevelType w:val="multilevel"/>
    <w:tmpl w:val="2F24D976"/>
    <w:lvl w:ilvl="0">
      <w:start w:val="1"/>
      <w:numFmt w:val="lowerLetter"/>
      <w:lvlText w:val="%1."/>
      <w:lvlJc w:val="left"/>
      <w:pPr>
        <w:ind w:left="1440" w:hanging="360"/>
      </w:pPr>
      <w:rPr>
        <w:vertAlign w:val="baseline"/>
      </w:rPr>
    </w:lvl>
    <w:lvl w:ilvl="1">
      <w:start w:val="1"/>
      <w:numFmt w:val="decimal"/>
      <w:lvlText w:val="%2)"/>
      <w:lvlJc w:val="left"/>
      <w:pPr>
        <w:ind w:left="2160" w:hanging="360"/>
      </w:pPr>
      <w:rPr>
        <w:vertAlign w:val="baseline"/>
      </w:rPr>
    </w:lvl>
    <w:lvl w:ilvl="2">
      <w:start w:val="1"/>
      <w:numFmt w:val="lowerLetter"/>
      <w:lvlText w:val="%3)"/>
      <w:lvlJc w:val="left"/>
      <w:pPr>
        <w:ind w:left="3060" w:hanging="36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num w:numId="1">
    <w:abstractNumId w:val="29"/>
  </w:num>
  <w:num w:numId="2">
    <w:abstractNumId w:val="19"/>
  </w:num>
  <w:num w:numId="3">
    <w:abstractNumId w:val="35"/>
  </w:num>
  <w:num w:numId="4">
    <w:abstractNumId w:val="6"/>
  </w:num>
  <w:num w:numId="5">
    <w:abstractNumId w:val="49"/>
  </w:num>
  <w:num w:numId="6">
    <w:abstractNumId w:val="48"/>
  </w:num>
  <w:num w:numId="7">
    <w:abstractNumId w:val="50"/>
  </w:num>
  <w:num w:numId="8">
    <w:abstractNumId w:val="30"/>
  </w:num>
  <w:num w:numId="9">
    <w:abstractNumId w:val="60"/>
  </w:num>
  <w:num w:numId="10">
    <w:abstractNumId w:val="17"/>
  </w:num>
  <w:num w:numId="11">
    <w:abstractNumId w:val="15"/>
  </w:num>
  <w:num w:numId="12">
    <w:abstractNumId w:val="33"/>
  </w:num>
  <w:num w:numId="13">
    <w:abstractNumId w:val="47"/>
  </w:num>
  <w:num w:numId="14">
    <w:abstractNumId w:val="14"/>
  </w:num>
  <w:num w:numId="15">
    <w:abstractNumId w:val="44"/>
  </w:num>
  <w:num w:numId="16">
    <w:abstractNumId w:val="46"/>
  </w:num>
  <w:num w:numId="17">
    <w:abstractNumId w:val="12"/>
  </w:num>
  <w:num w:numId="18">
    <w:abstractNumId w:val="9"/>
  </w:num>
  <w:num w:numId="19">
    <w:abstractNumId w:val="21"/>
  </w:num>
  <w:num w:numId="20">
    <w:abstractNumId w:val="59"/>
  </w:num>
  <w:num w:numId="21">
    <w:abstractNumId w:val="32"/>
  </w:num>
  <w:num w:numId="22">
    <w:abstractNumId w:val="1"/>
  </w:num>
  <w:num w:numId="23">
    <w:abstractNumId w:val="5"/>
  </w:num>
  <w:num w:numId="24">
    <w:abstractNumId w:val="20"/>
  </w:num>
  <w:num w:numId="25">
    <w:abstractNumId w:val="36"/>
  </w:num>
  <w:num w:numId="26">
    <w:abstractNumId w:val="42"/>
  </w:num>
  <w:num w:numId="27">
    <w:abstractNumId w:val="18"/>
  </w:num>
  <w:num w:numId="28">
    <w:abstractNumId w:val="16"/>
  </w:num>
  <w:num w:numId="29">
    <w:abstractNumId w:val="45"/>
  </w:num>
  <w:num w:numId="30">
    <w:abstractNumId w:val="7"/>
  </w:num>
  <w:num w:numId="31">
    <w:abstractNumId w:val="40"/>
  </w:num>
  <w:num w:numId="32">
    <w:abstractNumId w:val="56"/>
  </w:num>
  <w:num w:numId="33">
    <w:abstractNumId w:val="26"/>
  </w:num>
  <w:num w:numId="34">
    <w:abstractNumId w:val="31"/>
  </w:num>
  <w:num w:numId="35">
    <w:abstractNumId w:val="4"/>
  </w:num>
  <w:num w:numId="36">
    <w:abstractNumId w:val="43"/>
  </w:num>
  <w:num w:numId="37">
    <w:abstractNumId w:val="58"/>
  </w:num>
  <w:num w:numId="38">
    <w:abstractNumId w:val="34"/>
  </w:num>
  <w:num w:numId="39">
    <w:abstractNumId w:val="3"/>
  </w:num>
  <w:num w:numId="40">
    <w:abstractNumId w:val="27"/>
  </w:num>
  <w:num w:numId="41">
    <w:abstractNumId w:val="10"/>
  </w:num>
  <w:num w:numId="42">
    <w:abstractNumId w:val="51"/>
  </w:num>
  <w:num w:numId="43">
    <w:abstractNumId w:val="57"/>
  </w:num>
  <w:num w:numId="44">
    <w:abstractNumId w:val="22"/>
  </w:num>
  <w:num w:numId="45">
    <w:abstractNumId w:val="52"/>
  </w:num>
  <w:num w:numId="46">
    <w:abstractNumId w:val="24"/>
  </w:num>
  <w:num w:numId="47">
    <w:abstractNumId w:val="23"/>
  </w:num>
  <w:num w:numId="48">
    <w:abstractNumId w:val="8"/>
  </w:num>
  <w:num w:numId="49">
    <w:abstractNumId w:val="2"/>
  </w:num>
  <w:num w:numId="50">
    <w:abstractNumId w:val="54"/>
  </w:num>
  <w:num w:numId="51">
    <w:abstractNumId w:val="53"/>
  </w:num>
  <w:num w:numId="52">
    <w:abstractNumId w:val="0"/>
  </w:num>
  <w:num w:numId="53">
    <w:abstractNumId w:val="28"/>
  </w:num>
  <w:num w:numId="54">
    <w:abstractNumId w:val="38"/>
  </w:num>
  <w:num w:numId="55">
    <w:abstractNumId w:val="55"/>
  </w:num>
  <w:num w:numId="56">
    <w:abstractNumId w:val="41"/>
  </w:num>
  <w:num w:numId="57">
    <w:abstractNumId w:val="25"/>
  </w:num>
  <w:num w:numId="58">
    <w:abstractNumId w:val="11"/>
  </w:num>
  <w:num w:numId="59">
    <w:abstractNumId w:val="61"/>
  </w:num>
  <w:num w:numId="60">
    <w:abstractNumId w:val="13"/>
  </w:num>
  <w:num w:numId="61">
    <w:abstractNumId w:val="37"/>
  </w:num>
  <w:num w:numId="62">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56"/>
    <w:rsid w:val="00370348"/>
    <w:rsid w:val="00506037"/>
    <w:rsid w:val="00A2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069D0D-12D8-4F31-91F7-4FE1B326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spacing w:before="240" w:after="60"/>
    </w:pPr>
    <w:rPr>
      <w:rFonts w:ascii="Calibri Light" w:hAnsi="Calibri Light"/>
      <w:b/>
      <w:bCs/>
      <w:color w:val="2E74B5"/>
      <w:sz w:val="28"/>
      <w:szCs w:val="28"/>
      <w:lang w:eastAsia="ja-JP"/>
    </w:rPr>
  </w:style>
  <w:style w:type="paragraph" w:styleId="Heading2">
    <w:name w:val="heading 2"/>
    <w:basedOn w:val="Normal"/>
    <w:next w:val="Normal"/>
    <w:uiPriority w:val="9"/>
    <w:semiHidden/>
    <w:unhideWhenUsed/>
    <w:qFormat/>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uiPriority w:val="99"/>
    <w:rPr>
      <w:rFonts w:ascii="Tahoma" w:hAnsi="Tahoma" w:cs="Tahoma"/>
      <w:sz w:val="16"/>
      <w:szCs w:val="16"/>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pPr>
      <w:shd w:val="clear" w:color="auto" w:fill="000080"/>
    </w:pPr>
    <w:rPr>
      <w:rFonts w:ascii="Tahoma" w:hAnsi="Tahoma" w:cs="Tahoma"/>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uiPriority w:val="99"/>
    <w:rPr>
      <w:w w:val="100"/>
      <w:position w:val="-1"/>
      <w:effect w:val="none"/>
      <w:vertAlign w:val="baseline"/>
      <w:cs w:val="0"/>
      <w:em w:val="none"/>
    </w:rPr>
  </w:style>
  <w:style w:type="paragraph" w:styleId="ListParagraph">
    <w:name w:val="List Paragraph"/>
    <w:basedOn w:val="Normal"/>
    <w:uiPriority w:val="34"/>
    <w:qFormat/>
    <w:pPr>
      <w:ind w:left="720"/>
    </w:pPr>
  </w:style>
  <w:style w:type="paragraph" w:customStyle="1" w:styleId="Heading11">
    <w:name w:val="Heading 11"/>
    <w:basedOn w:val="Normal"/>
    <w:next w:val="Normal"/>
    <w:pPr>
      <w:keepNext/>
      <w:keepLines/>
      <w:spacing w:before="480" w:line="276" w:lineRule="auto"/>
    </w:pPr>
    <w:rPr>
      <w:rFonts w:ascii="Calibri Light" w:hAnsi="Calibri Light"/>
      <w:b/>
      <w:bCs/>
      <w:color w:val="2E74B5"/>
      <w:sz w:val="28"/>
      <w:szCs w:val="28"/>
      <w:lang w:eastAsia="ja-JP"/>
    </w:rPr>
  </w:style>
  <w:style w:type="paragraph" w:customStyle="1" w:styleId="Heading21">
    <w:name w:val="Heading 21"/>
    <w:basedOn w:val="Normal"/>
    <w:next w:val="Normal"/>
    <w:qFormat/>
    <w:pPr>
      <w:keepNext/>
      <w:keepLines/>
      <w:spacing w:before="40"/>
      <w:outlineLvl w:val="1"/>
    </w:pPr>
    <w:rPr>
      <w:rFonts w:ascii="Calibri Light" w:hAnsi="Calibri Light"/>
      <w:color w:val="2E74B5"/>
      <w:sz w:val="26"/>
      <w:szCs w:val="26"/>
    </w:rPr>
  </w:style>
  <w:style w:type="numbering" w:customStyle="1" w:styleId="NoList1">
    <w:name w:val="No List1"/>
    <w:next w:val="NoList"/>
    <w:qFormat/>
  </w:style>
  <w:style w:type="character" w:customStyle="1" w:styleId="HeaderChar">
    <w:name w:val="Header Char"/>
    <w:uiPriority w:val="99"/>
    <w:rPr>
      <w:w w:val="100"/>
      <w:position w:val="-1"/>
      <w:sz w:val="24"/>
      <w:szCs w:val="24"/>
      <w:effect w:val="none"/>
      <w:vertAlign w:val="baseline"/>
      <w:cs w:val="0"/>
      <w:em w:val="none"/>
    </w:rPr>
  </w:style>
  <w:style w:type="character" w:customStyle="1" w:styleId="FooterChar">
    <w:name w:val="Footer Char"/>
    <w:uiPriority w:val="99"/>
    <w:rPr>
      <w:w w:val="100"/>
      <w:position w:val="-1"/>
      <w:sz w:val="24"/>
      <w:szCs w:val="24"/>
      <w:effect w:val="none"/>
      <w:vertAlign w:val="baseline"/>
      <w:cs w:val="0"/>
      <w:em w:val="none"/>
    </w:rPr>
  </w:style>
  <w:style w:type="paragraph" w:customStyle="1" w:styleId="Heading213ptBoldItalicLeft">
    <w:name w:val="Heading 2 + 13 pt Bold Italic Left"/>
    <w:basedOn w:val="Heading2"/>
    <w:uiPriority w:val="99"/>
    <w:pPr>
      <w:spacing w:before="0" w:after="0"/>
    </w:pPr>
    <w:rPr>
      <w:rFonts w:ascii="Cambria" w:hAnsi="Cambria"/>
      <w:sz w:val="26"/>
      <w:szCs w:val="26"/>
    </w:rPr>
  </w:style>
  <w:style w:type="character" w:customStyle="1" w:styleId="Heading2Char">
    <w:name w:val="Heading 2 Char"/>
    <w:uiPriority w:val="9"/>
    <w:rPr>
      <w:rFonts w:ascii="Calibri Light" w:eastAsia="Times New Roman" w:hAnsi="Calibri Light" w:cs="Times New Roman"/>
      <w:color w:val="2E74B5"/>
      <w:w w:val="100"/>
      <w:position w:val="-1"/>
      <w:sz w:val="26"/>
      <w:szCs w:val="26"/>
      <w:effect w:val="none"/>
      <w:vertAlign w:val="baseline"/>
      <w:cs w:val="0"/>
      <w:em w:val="none"/>
    </w:rPr>
  </w:style>
  <w:style w:type="character" w:customStyle="1" w:styleId="BalloonTextChar">
    <w:name w:val="Balloon Text Char"/>
    <w:uiPriority w:val="99"/>
    <w:rPr>
      <w:rFonts w:ascii="Tahoma" w:hAnsi="Tahoma" w:cs="Tahoma"/>
      <w:w w:val="100"/>
      <w:position w:val="-1"/>
      <w:sz w:val="16"/>
      <w:szCs w:val="16"/>
      <w:effect w:val="none"/>
      <w:vertAlign w:val="baseline"/>
      <w:cs w:val="0"/>
      <w:em w:val="none"/>
    </w:rPr>
  </w:style>
  <w:style w:type="paragraph" w:customStyle="1" w:styleId="NoSpacing1">
    <w:name w:val="No Spacing1"/>
    <w:next w:val="NoSpacing"/>
    <w:pPr>
      <w:suppressAutoHyphens/>
      <w:spacing w:line="1" w:lineRule="atLeast"/>
      <w:ind w:leftChars="-1" w:left="-1" w:hangingChars="1"/>
      <w:textDirection w:val="btLr"/>
      <w:textAlignment w:val="top"/>
      <w:outlineLvl w:val="0"/>
    </w:pPr>
    <w:rPr>
      <w:rFonts w:ascii="Calibri" w:hAnsi="Calibri"/>
      <w:position w:val="-1"/>
      <w:sz w:val="22"/>
      <w:szCs w:val="22"/>
      <w:lang w:eastAsia="ja-JP"/>
    </w:rPr>
  </w:style>
  <w:style w:type="character" w:customStyle="1" w:styleId="NoSpacingChar">
    <w:name w:val="No Spacing Char"/>
    <w:uiPriority w:val="1"/>
    <w:rPr>
      <w:w w:val="100"/>
      <w:position w:val="-1"/>
      <w:effect w:val="none"/>
      <w:vertAlign w:val="baseline"/>
      <w:cs w:val="0"/>
      <w:em w:val="none"/>
      <w:lang w:eastAsia="ja-JP"/>
    </w:rPr>
  </w:style>
  <w:style w:type="character" w:customStyle="1" w:styleId="Heading1Char">
    <w:name w:val="Heading 1 Char"/>
    <w:uiPriority w:val="9"/>
    <w:rPr>
      <w:rFonts w:ascii="Calibri Light" w:eastAsia="Times New Roman" w:hAnsi="Calibri Light" w:cs="Times New Roman"/>
      <w:b/>
      <w:bCs/>
      <w:color w:val="2E74B5"/>
      <w:w w:val="100"/>
      <w:position w:val="-1"/>
      <w:sz w:val="28"/>
      <w:szCs w:val="28"/>
      <w:effect w:val="none"/>
      <w:vertAlign w:val="baseline"/>
      <w:cs w:val="0"/>
      <w:em w:val="none"/>
      <w:lang w:eastAsia="ja-JP"/>
    </w:rPr>
  </w:style>
  <w:style w:type="character" w:customStyle="1" w:styleId="Heading2Char1">
    <w:name w:val="Heading 2 Char1"/>
    <w:rPr>
      <w:rFonts w:ascii="Calibri Light" w:eastAsia="Times New Roman" w:hAnsi="Calibri Light" w:cs="Times New Roman"/>
      <w:b/>
      <w:bCs/>
      <w:i/>
      <w:iCs/>
      <w:w w:val="100"/>
      <w:position w:val="-1"/>
      <w:sz w:val="28"/>
      <w:szCs w:val="28"/>
      <w:effect w:val="none"/>
      <w:vertAlign w:val="baseline"/>
      <w:cs w:val="0"/>
      <w:em w:val="none"/>
    </w:rPr>
  </w:style>
  <w:style w:type="paragraph" w:styleId="NoSpacing">
    <w:name w:val="No Spacing"/>
    <w:uiPriority w:val="1"/>
    <w:qFormat/>
    <w:pPr>
      <w:suppressAutoHyphens/>
      <w:spacing w:line="1" w:lineRule="atLeast"/>
      <w:ind w:leftChars="-1" w:left="-1" w:hangingChars="1"/>
      <w:textDirection w:val="btLr"/>
      <w:textAlignment w:val="top"/>
      <w:outlineLvl w:val="0"/>
    </w:pPr>
    <w:rPr>
      <w:position w:val="-1"/>
    </w:rPr>
  </w:style>
  <w:style w:type="character" w:customStyle="1" w:styleId="Heading1Char1">
    <w:name w:val="Heading 1 Char1"/>
    <w:rPr>
      <w:rFonts w:ascii="Calibri Light" w:eastAsia="Times New Roman" w:hAnsi="Calibri Light" w:cs="Times New Roman"/>
      <w:b/>
      <w:bCs/>
      <w:w w:val="100"/>
      <w:kern w:val="32"/>
      <w:position w:val="-1"/>
      <w:sz w:val="32"/>
      <w:szCs w:val="32"/>
      <w:effect w:val="none"/>
      <w:vertAlign w:val="baseline"/>
      <w:cs w:val="0"/>
      <w:em w:val="none"/>
    </w:rPr>
  </w:style>
  <w:style w:type="paragraph" w:styleId="Revision">
    <w:name w:val="Revision"/>
    <w:pPr>
      <w:suppressAutoHyphens/>
      <w:spacing w:line="1" w:lineRule="atLeast"/>
      <w:ind w:leftChars="-1" w:left="-1" w:hangingChars="1"/>
      <w:textDirection w:val="btLr"/>
      <w:textAlignment w:val="top"/>
      <w:outlineLvl w:val="0"/>
    </w:pPr>
    <w:rPr>
      <w:position w:val="-1"/>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numbering" w:customStyle="1" w:styleId="NoList2">
    <w:name w:val="No List2"/>
    <w:next w:val="NoList"/>
    <w:uiPriority w:val="99"/>
    <w:semiHidden/>
    <w:unhideWhenUsed/>
    <w:rsid w:val="003D52B4"/>
  </w:style>
  <w:style w:type="character" w:customStyle="1" w:styleId="Heading3Char">
    <w:name w:val="Heading 3 Char"/>
    <w:basedOn w:val="DefaultParagraphFont"/>
    <w:link w:val="Heading3"/>
    <w:uiPriority w:val="9"/>
    <w:semiHidden/>
    <w:rsid w:val="003D52B4"/>
    <w:rPr>
      <w:b/>
      <w:position w:val="-1"/>
      <w:sz w:val="28"/>
      <w:szCs w:val="28"/>
    </w:rPr>
  </w:style>
  <w:style w:type="paragraph" w:styleId="BodyText">
    <w:name w:val="Body Text"/>
    <w:basedOn w:val="Normal"/>
    <w:link w:val="BodyTextChar"/>
    <w:semiHidden/>
    <w:rsid w:val="003D52B4"/>
    <w:pPr>
      <w:suppressAutoHyphens w:val="0"/>
      <w:spacing w:after="240" w:line="240" w:lineRule="atLeast"/>
      <w:ind w:leftChars="0" w:left="0" w:firstLineChars="0" w:firstLine="360"/>
      <w:jc w:val="both"/>
      <w:textDirection w:val="lrTb"/>
      <w:textAlignment w:val="auto"/>
      <w:outlineLvl w:val="9"/>
    </w:pPr>
    <w:rPr>
      <w:rFonts w:ascii="Garamond" w:hAnsi="Garamond"/>
      <w:position w:val="0"/>
      <w:sz w:val="22"/>
      <w:szCs w:val="20"/>
    </w:rPr>
  </w:style>
  <w:style w:type="character" w:customStyle="1" w:styleId="BodyTextChar">
    <w:name w:val="Body Text Char"/>
    <w:basedOn w:val="DefaultParagraphFont"/>
    <w:link w:val="BodyText"/>
    <w:semiHidden/>
    <w:rsid w:val="003D52B4"/>
    <w:rPr>
      <w:rFonts w:ascii="Garamond" w:hAnsi="Garamond"/>
      <w:sz w:val="22"/>
      <w:szCs w:val="20"/>
    </w:rPr>
  </w:style>
  <w:style w:type="character" w:styleId="Hyperlink">
    <w:name w:val="Hyperlink"/>
    <w:uiPriority w:val="99"/>
    <w:unhideWhenUsed/>
    <w:rsid w:val="003D52B4"/>
    <w:rPr>
      <w:color w:val="0000FF"/>
      <w:u w:val="single"/>
    </w:rPr>
  </w:style>
  <w:style w:type="character" w:customStyle="1" w:styleId="UnresolvedMention">
    <w:name w:val="Unresolved Mention"/>
    <w:basedOn w:val="DefaultParagraphFont"/>
    <w:uiPriority w:val="99"/>
    <w:semiHidden/>
    <w:unhideWhenUsed/>
    <w:rsid w:val="003D52B4"/>
    <w:rPr>
      <w:color w:val="605E5C"/>
      <w:shd w:val="clear" w:color="auto" w:fill="E1DFDD"/>
    </w:rPr>
  </w:style>
  <w:style w:type="character" w:customStyle="1" w:styleId="FollowedHyperlink1">
    <w:name w:val="FollowedHyperlink1"/>
    <w:basedOn w:val="DefaultParagraphFont"/>
    <w:uiPriority w:val="99"/>
    <w:semiHidden/>
    <w:unhideWhenUsed/>
    <w:rsid w:val="003D52B4"/>
    <w:rPr>
      <w:color w:val="954F72"/>
      <w:u w:val="single"/>
    </w:rPr>
  </w:style>
  <w:style w:type="character" w:styleId="FollowedHyperlink">
    <w:name w:val="FollowedHyperlink"/>
    <w:basedOn w:val="DefaultParagraphFont"/>
    <w:uiPriority w:val="99"/>
    <w:semiHidden/>
    <w:unhideWhenUsed/>
    <w:rsid w:val="003D52B4"/>
    <w:rPr>
      <w:color w:val="800080" w:themeColor="followedHyperlink"/>
      <w:u w:val="single"/>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ide.ri.gov/Portals/0/Uploads/Documents/Students-and-Families-Great-Schools/Educational-Programming/Career-and-Tech/2018-19ProgramApproval/Approved_CTE_Programs_AY_2017.2018_ptm.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de.ri.gov/Portals/0/Uploads/Documents/Students-and-Families-Great-Schools/Educational-Programming/Career-and-Tech/Approved_CTE_Programs_AY_2019.20.pdf?ver=2019-07-23-143948-64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de.ri.gov/Portals/0/Uploads/Documents/Students-and-Families-Great-Schools/Educational-Programming/Career-and-Tech/Approved_CTE_Programs_AY_2019.2020_ptm_final.pdf?ver=2019-12-23-135322-443"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data.ri.gov/group/mtp-docs-dat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icpa.org/content/dam/aicpa/research/standards/auditattest/downloadabledocuments/ssae-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jTnHcu2Iag2Jnr/uVw3SAl5HzA==">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14791</Words>
  <Characters>84309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aguiark</dc:creator>
  <cp:lastModifiedBy>Brown, Kathryn</cp:lastModifiedBy>
  <cp:revision>2</cp:revision>
  <dcterms:created xsi:type="dcterms:W3CDTF">2021-07-30T20:36:00Z</dcterms:created>
  <dcterms:modified xsi:type="dcterms:W3CDTF">2021-07-30T20:36:00Z</dcterms:modified>
</cp:coreProperties>
</file>