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CDA8C" w14:textId="77777777" w:rsidR="00A85DEC" w:rsidRDefault="003F511E">
      <w:pPr>
        <w:pBdr>
          <w:top w:val="nil"/>
          <w:left w:val="nil"/>
          <w:bottom w:val="nil"/>
          <w:right w:val="nil"/>
          <w:between w:val="nil"/>
        </w:pBdr>
        <w:ind w:left="3965"/>
        <w:rPr>
          <w:color w:val="000000"/>
          <w:sz w:val="20"/>
          <w:szCs w:val="20"/>
        </w:rPr>
      </w:pPr>
      <w:r>
        <w:rPr>
          <w:noProof/>
          <w:color w:val="000000"/>
          <w:sz w:val="20"/>
          <w:szCs w:val="20"/>
        </w:rPr>
        <w:drawing>
          <wp:inline distT="0" distB="0" distL="0" distR="0" wp14:anchorId="291C1CA9" wp14:editId="368443CE">
            <wp:extent cx="1130935" cy="64007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130935" cy="640079"/>
                    </a:xfrm>
                    <a:prstGeom prst="rect">
                      <a:avLst/>
                    </a:prstGeom>
                    <a:ln/>
                  </pic:spPr>
                </pic:pic>
              </a:graphicData>
            </a:graphic>
          </wp:inline>
        </w:drawing>
      </w:r>
    </w:p>
    <w:p w14:paraId="156924F9" w14:textId="77777777" w:rsidR="00A85DEC" w:rsidRDefault="00A85DEC">
      <w:pPr>
        <w:pBdr>
          <w:top w:val="nil"/>
          <w:left w:val="nil"/>
          <w:bottom w:val="nil"/>
          <w:right w:val="nil"/>
          <w:between w:val="nil"/>
        </w:pBdr>
        <w:rPr>
          <w:color w:val="000000"/>
          <w:sz w:val="20"/>
          <w:szCs w:val="20"/>
        </w:rPr>
      </w:pPr>
    </w:p>
    <w:p w14:paraId="7DBC1E86" w14:textId="77777777" w:rsidR="00A85DEC" w:rsidRDefault="00A85DEC">
      <w:pPr>
        <w:pBdr>
          <w:top w:val="nil"/>
          <w:left w:val="nil"/>
          <w:bottom w:val="nil"/>
          <w:right w:val="nil"/>
          <w:between w:val="nil"/>
        </w:pBdr>
        <w:rPr>
          <w:color w:val="000000"/>
          <w:sz w:val="21"/>
          <w:szCs w:val="21"/>
        </w:rPr>
      </w:pPr>
    </w:p>
    <w:p w14:paraId="34EBF21E" w14:textId="77777777" w:rsidR="00A85DEC" w:rsidRDefault="003F511E">
      <w:pPr>
        <w:ind w:left="360" w:right="420"/>
        <w:jc w:val="center"/>
        <w:rPr>
          <w:b/>
          <w:sz w:val="24"/>
          <w:szCs w:val="24"/>
        </w:rPr>
      </w:pPr>
      <w:r>
        <w:rPr>
          <w:b/>
          <w:color w:val="000000"/>
          <w:sz w:val="24"/>
          <w:szCs w:val="24"/>
        </w:rPr>
        <w:t xml:space="preserve">POLÍTICA DE PREVENCIÓN, TRATAMIENTO Y MANEJO DE CONCUSIONES de la NIAA (Asociación de Actividades Interescolares de Nevada) </w:t>
      </w:r>
    </w:p>
    <w:p w14:paraId="5AB4310E" w14:textId="77777777" w:rsidR="00A85DEC" w:rsidRDefault="00A85DEC">
      <w:pPr>
        <w:pBdr>
          <w:top w:val="nil"/>
          <w:left w:val="nil"/>
          <w:bottom w:val="nil"/>
          <w:right w:val="nil"/>
          <w:between w:val="nil"/>
        </w:pBdr>
        <w:spacing w:before="7"/>
        <w:rPr>
          <w:b/>
          <w:color w:val="000000"/>
          <w:sz w:val="24"/>
          <w:szCs w:val="24"/>
        </w:rPr>
      </w:pPr>
    </w:p>
    <w:p w14:paraId="4DCABCDA" w14:textId="77777777" w:rsidR="00A85DEC" w:rsidRDefault="003F511E">
      <w:pPr>
        <w:pBdr>
          <w:top w:val="nil"/>
          <w:left w:val="nil"/>
          <w:bottom w:val="nil"/>
          <w:right w:val="nil"/>
          <w:between w:val="nil"/>
        </w:pBdr>
        <w:spacing w:line="232" w:lineRule="auto"/>
        <w:ind w:left="103" w:right="171" w:firstLine="729"/>
        <w:jc w:val="both"/>
        <w:rPr>
          <w:color w:val="000000"/>
          <w:sz w:val="24"/>
          <w:szCs w:val="24"/>
        </w:rPr>
      </w:pPr>
      <w:r>
        <w:rPr>
          <w:color w:val="000000"/>
          <w:sz w:val="24"/>
          <w:szCs w:val="24"/>
        </w:rPr>
        <w:t xml:space="preserve">La participación en los deportes sancionados por la NIAA es un privilegio y una responsabilidad que requiere que todos los participantes se adhieran a las reglas de entrenamiento </w:t>
      </w:r>
      <w:r>
        <w:rPr>
          <w:sz w:val="24"/>
          <w:szCs w:val="24"/>
        </w:rPr>
        <w:t>deportivo</w:t>
      </w:r>
      <w:r>
        <w:rPr>
          <w:color w:val="000000"/>
          <w:sz w:val="24"/>
          <w:szCs w:val="24"/>
        </w:rPr>
        <w:t xml:space="preserve"> impuestas por la Asociación de Actividades Interescolares de Nevada</w:t>
      </w:r>
      <w:r>
        <w:rPr>
          <w:color w:val="000000"/>
          <w:sz w:val="24"/>
          <w:szCs w:val="24"/>
        </w:rPr>
        <w:t xml:space="preserve"> ("NIAA"), así como el distrito escolar y la escuela con membresía, afiliada o provisional a la que el estudiante asiste y representa. El cumplimiento de las reglas de entrenamiento asegura que todos los estudiantes atletas se encuentren en la mejor condic</w:t>
      </w:r>
      <w:r>
        <w:rPr>
          <w:color w:val="000000"/>
          <w:sz w:val="24"/>
          <w:szCs w:val="24"/>
        </w:rPr>
        <w:t>ión física, minimiza el potencial de lesiones significativas y además asegura que todos los equipos deportivos de la escuelas que son miembros y están afiliados estén protegidos y debidamente representados por sus estudiantes atletas.</w:t>
      </w:r>
    </w:p>
    <w:p w14:paraId="75BBDE12" w14:textId="77777777" w:rsidR="00A85DEC" w:rsidRDefault="00A85DEC">
      <w:pPr>
        <w:pBdr>
          <w:top w:val="nil"/>
          <w:left w:val="nil"/>
          <w:bottom w:val="nil"/>
          <w:right w:val="nil"/>
          <w:between w:val="nil"/>
        </w:pBdr>
        <w:spacing w:before="10"/>
        <w:rPr>
          <w:color w:val="000000"/>
          <w:sz w:val="24"/>
          <w:szCs w:val="24"/>
        </w:rPr>
      </w:pPr>
    </w:p>
    <w:p w14:paraId="43434170" w14:textId="77777777" w:rsidR="00A85DEC" w:rsidRDefault="003F511E">
      <w:pPr>
        <w:pBdr>
          <w:top w:val="nil"/>
          <w:left w:val="nil"/>
          <w:bottom w:val="nil"/>
          <w:right w:val="nil"/>
          <w:between w:val="nil"/>
        </w:pBdr>
        <w:spacing w:line="232" w:lineRule="auto"/>
        <w:ind w:left="103" w:right="161" w:firstLine="729"/>
        <w:jc w:val="both"/>
        <w:rPr>
          <w:color w:val="000000"/>
          <w:sz w:val="24"/>
          <w:szCs w:val="24"/>
        </w:rPr>
      </w:pPr>
      <w:r>
        <w:rPr>
          <w:color w:val="000000"/>
          <w:sz w:val="24"/>
          <w:szCs w:val="24"/>
        </w:rPr>
        <w:t>Una concusión cerebr</w:t>
      </w:r>
      <w:r>
        <w:rPr>
          <w:color w:val="000000"/>
          <w:sz w:val="24"/>
          <w:szCs w:val="24"/>
        </w:rPr>
        <w:t xml:space="preserve">al es una lesión cerebral que resulta de un choque, golpe o sacudida a la cabeza o el cuerpo que hace que el cerebro se mueva rápidamente en el cráneo y que altera la función cerebral normal. Los Centros para el Control y la Prevención de Enfermedades del </w:t>
      </w:r>
      <w:r>
        <w:rPr>
          <w:color w:val="000000"/>
          <w:sz w:val="24"/>
          <w:szCs w:val="24"/>
        </w:rPr>
        <w:t xml:space="preserve">Departamento de Salud y Servicios Humanos de los Estados Unidos estiman que ocurren 3,8 millones de concusiones cada año en los Estados Unidos relacionadas </w:t>
      </w:r>
      <w:r>
        <w:rPr>
          <w:sz w:val="24"/>
          <w:szCs w:val="24"/>
        </w:rPr>
        <w:t>con</w:t>
      </w:r>
      <w:r>
        <w:rPr>
          <w:color w:val="000000"/>
          <w:sz w:val="24"/>
          <w:szCs w:val="24"/>
        </w:rPr>
        <w:t xml:space="preserve"> la participación en deportes y otras actividades recreativas. Los estudiantes atletas que contin</w:t>
      </w:r>
      <w:r>
        <w:rPr>
          <w:color w:val="000000"/>
          <w:sz w:val="24"/>
          <w:szCs w:val="24"/>
        </w:rPr>
        <w:t>úan participando en una actividad deportiva mientras sufren una concusión o los síntomas de una lesión a la cabeza, corren un riesgo mayor de sufrir una lesión catastrófica en el cerebro o incluso la muerte. Asegurarse de que un estudiante atleta que sufre</w:t>
      </w:r>
      <w:r>
        <w:rPr>
          <w:color w:val="000000"/>
          <w:sz w:val="24"/>
          <w:szCs w:val="24"/>
        </w:rPr>
        <w:t xml:space="preserve"> o se sospeche que padece de una concusión u otra lesión a la cabeza reciba la atención médica adecuada antes de regresar a una actividad deportiva reducirá significativamente el riesgo del niño/a de sufrir una lesión mayor en el futuro.</w:t>
      </w:r>
    </w:p>
    <w:p w14:paraId="06324AEB" w14:textId="77777777" w:rsidR="00A85DEC" w:rsidRDefault="00A85DEC">
      <w:pPr>
        <w:pBdr>
          <w:top w:val="nil"/>
          <w:left w:val="nil"/>
          <w:bottom w:val="nil"/>
          <w:right w:val="nil"/>
          <w:between w:val="nil"/>
        </w:pBdr>
        <w:spacing w:before="9"/>
        <w:rPr>
          <w:color w:val="000000"/>
          <w:sz w:val="24"/>
          <w:szCs w:val="24"/>
        </w:rPr>
      </w:pPr>
    </w:p>
    <w:p w14:paraId="5270DC0E" w14:textId="77777777" w:rsidR="00A85DEC" w:rsidRDefault="003F511E">
      <w:pPr>
        <w:pBdr>
          <w:top w:val="nil"/>
          <w:left w:val="nil"/>
          <w:bottom w:val="nil"/>
          <w:right w:val="nil"/>
          <w:between w:val="nil"/>
        </w:pBdr>
        <w:spacing w:line="235" w:lineRule="auto"/>
        <w:ind w:left="103" w:right="165" w:firstLine="729"/>
        <w:jc w:val="both"/>
        <w:rPr>
          <w:color w:val="000000"/>
          <w:sz w:val="24"/>
          <w:szCs w:val="24"/>
        </w:rPr>
      </w:pPr>
      <w:r>
        <w:rPr>
          <w:color w:val="000000"/>
          <w:sz w:val="24"/>
          <w:szCs w:val="24"/>
        </w:rPr>
        <w:t xml:space="preserve">La Legislatura de Nevada aprobó la propuesta de ley AB455, ahora codificada como NRS 386.435, durante la sesión legislativa del 2011 la cual requiere que la NIAA desarrolle una política que aborde la prevención, el tratamiento y manejo de las concusiones </w:t>
      </w:r>
      <w:r>
        <w:rPr>
          <w:sz w:val="24"/>
          <w:szCs w:val="24"/>
        </w:rPr>
        <w:t>l</w:t>
      </w:r>
      <w:r>
        <w:rPr>
          <w:sz w:val="24"/>
          <w:szCs w:val="24"/>
        </w:rPr>
        <w:t>a cual</w:t>
      </w:r>
      <w:r>
        <w:rPr>
          <w:color w:val="000000"/>
          <w:sz w:val="24"/>
          <w:szCs w:val="24"/>
        </w:rPr>
        <w:t xml:space="preserve"> se aplique a todos los deportes y actividades sancionados por la NIAA.</w:t>
      </w:r>
    </w:p>
    <w:p w14:paraId="4EB6F840" w14:textId="77777777" w:rsidR="00A85DEC" w:rsidRDefault="00A85DEC">
      <w:pPr>
        <w:pBdr>
          <w:top w:val="nil"/>
          <w:left w:val="nil"/>
          <w:bottom w:val="nil"/>
          <w:right w:val="nil"/>
          <w:between w:val="nil"/>
        </w:pBdr>
        <w:spacing w:before="8"/>
        <w:rPr>
          <w:color w:val="000000"/>
          <w:sz w:val="25"/>
          <w:szCs w:val="25"/>
        </w:rPr>
      </w:pPr>
    </w:p>
    <w:p w14:paraId="5C5E900E" w14:textId="77777777" w:rsidR="00A85DEC" w:rsidRDefault="003F511E">
      <w:pPr>
        <w:pBdr>
          <w:top w:val="nil"/>
          <w:left w:val="nil"/>
          <w:bottom w:val="nil"/>
          <w:right w:val="nil"/>
          <w:between w:val="nil"/>
        </w:pBdr>
        <w:spacing w:line="232" w:lineRule="auto"/>
        <w:ind w:left="112" w:right="112" w:firstLine="732"/>
        <w:jc w:val="both"/>
        <w:rPr>
          <w:color w:val="000000"/>
          <w:sz w:val="24"/>
          <w:szCs w:val="24"/>
        </w:rPr>
      </w:pPr>
      <w:r>
        <w:rPr>
          <w:color w:val="000000"/>
          <w:sz w:val="24"/>
          <w:szCs w:val="24"/>
        </w:rPr>
        <w:t>POR LO TANTO, la NIAA adopta la siguiente política con fines de prevención, tratamiento y manejo de las lesiones a la cabeza que pueden ocurrir durante la participación de un al</w:t>
      </w:r>
      <w:r>
        <w:rPr>
          <w:color w:val="000000"/>
          <w:sz w:val="24"/>
          <w:szCs w:val="24"/>
        </w:rPr>
        <w:t>umno en las actividades y eventos interescolares, que incluye, sin limitación, una concusión cerebral. Esta política constituye el estándar mínimo que seguirán todas las escuelas que son miembros. Los Distritos Escolares y las escuelas que son miembros pue</w:t>
      </w:r>
      <w:r>
        <w:rPr>
          <w:color w:val="000000"/>
          <w:sz w:val="24"/>
          <w:szCs w:val="24"/>
        </w:rPr>
        <w:t>den optar por adoptar y seguir programas y pautas más estrictos relacionados con la prevención, el tratamiento y el manejo de las concusiones, y esos programas tendrán prioridad sobre esta política.</w:t>
      </w:r>
    </w:p>
    <w:p w14:paraId="32C95D00" w14:textId="77777777" w:rsidR="00A85DEC" w:rsidRDefault="00A85DEC">
      <w:pPr>
        <w:pBdr>
          <w:top w:val="nil"/>
          <w:left w:val="nil"/>
          <w:bottom w:val="nil"/>
          <w:right w:val="nil"/>
          <w:between w:val="nil"/>
        </w:pBdr>
        <w:spacing w:before="4"/>
        <w:rPr>
          <w:color w:val="000000"/>
          <w:sz w:val="26"/>
          <w:szCs w:val="26"/>
        </w:rPr>
      </w:pPr>
    </w:p>
    <w:p w14:paraId="7201A2C3" w14:textId="77777777" w:rsidR="00A85DEC" w:rsidRDefault="003F511E">
      <w:pPr>
        <w:numPr>
          <w:ilvl w:val="0"/>
          <w:numId w:val="1"/>
        </w:numPr>
        <w:pBdr>
          <w:top w:val="nil"/>
          <w:left w:val="nil"/>
          <w:bottom w:val="nil"/>
          <w:right w:val="nil"/>
          <w:between w:val="nil"/>
        </w:pBdr>
        <w:tabs>
          <w:tab w:val="left" w:pos="1579"/>
          <w:tab w:val="left" w:pos="1580"/>
        </w:tabs>
        <w:spacing w:line="232" w:lineRule="auto"/>
        <w:ind w:right="209" w:hanging="689"/>
        <w:rPr>
          <w:color w:val="000000"/>
          <w:sz w:val="24"/>
          <w:szCs w:val="24"/>
        </w:rPr>
      </w:pPr>
      <w:r>
        <w:rPr>
          <w:color w:val="000000"/>
          <w:sz w:val="24"/>
          <w:szCs w:val="24"/>
        </w:rPr>
        <w:t>Cada año escolar antes de que un estudiante atleta pueda participar en una actividad o evento interescolar, se le debe proveer una copia de esta política al estudiante atleta y su madre, padre o tutor legal. La participación en actividades o eventos intere</w:t>
      </w:r>
      <w:r>
        <w:rPr>
          <w:color w:val="000000"/>
          <w:sz w:val="24"/>
          <w:szCs w:val="24"/>
        </w:rPr>
        <w:t>scolares se interpretará de conformidad con la definición de "</w:t>
      </w:r>
      <w:r>
        <w:rPr>
          <w:i/>
          <w:color w:val="000000"/>
          <w:sz w:val="24"/>
          <w:szCs w:val="24"/>
        </w:rPr>
        <w:t>participation</w:t>
      </w:r>
      <w:r>
        <w:rPr>
          <w:color w:val="000000"/>
          <w:sz w:val="24"/>
          <w:szCs w:val="24"/>
        </w:rPr>
        <w:t xml:space="preserve"> (participación)" establecida en NAC 386.615 y 386.695.</w:t>
      </w:r>
    </w:p>
    <w:p w14:paraId="43CE03E8" w14:textId="77777777" w:rsidR="00A85DEC" w:rsidRDefault="00A85DEC">
      <w:pPr>
        <w:pBdr>
          <w:top w:val="nil"/>
          <w:left w:val="nil"/>
          <w:bottom w:val="nil"/>
          <w:right w:val="nil"/>
          <w:between w:val="nil"/>
        </w:pBdr>
        <w:tabs>
          <w:tab w:val="left" w:pos="1579"/>
          <w:tab w:val="left" w:pos="1580"/>
        </w:tabs>
        <w:spacing w:line="232" w:lineRule="auto"/>
        <w:ind w:left="1572" w:right="209"/>
        <w:rPr>
          <w:sz w:val="24"/>
          <w:szCs w:val="24"/>
        </w:rPr>
      </w:pPr>
    </w:p>
    <w:p w14:paraId="5178B8DE" w14:textId="77777777" w:rsidR="00A85DEC" w:rsidRDefault="003F511E">
      <w:pPr>
        <w:numPr>
          <w:ilvl w:val="0"/>
          <w:numId w:val="1"/>
        </w:numPr>
        <w:pBdr>
          <w:top w:val="nil"/>
          <w:left w:val="nil"/>
          <w:bottom w:val="nil"/>
          <w:right w:val="nil"/>
          <w:between w:val="nil"/>
        </w:pBdr>
        <w:tabs>
          <w:tab w:val="left" w:pos="1582"/>
        </w:tabs>
        <w:spacing w:before="78" w:line="232" w:lineRule="auto"/>
        <w:ind w:left="1591" w:right="154" w:hanging="730"/>
        <w:jc w:val="both"/>
        <w:rPr>
          <w:color w:val="000000"/>
          <w:sz w:val="24"/>
          <w:szCs w:val="24"/>
        </w:rPr>
      </w:pPr>
      <w:r>
        <w:rPr>
          <w:color w:val="000000"/>
          <w:sz w:val="24"/>
          <w:szCs w:val="24"/>
        </w:rPr>
        <w:t xml:space="preserve">El estudiante atleta y su padre, madre o tutor legal deben firmar la declaración </w:t>
      </w:r>
      <w:r>
        <w:rPr>
          <w:color w:val="000000"/>
          <w:sz w:val="24"/>
          <w:szCs w:val="24"/>
        </w:rPr>
        <w:lastRenderedPageBreak/>
        <w:t>adjunta a esta política reconociendo que han leído y entendido los términos y condiciones de la política, y aceptan estar regidos por la política.</w:t>
      </w:r>
    </w:p>
    <w:p w14:paraId="1F58F178" w14:textId="77777777" w:rsidR="00A85DEC" w:rsidRDefault="00A85DEC">
      <w:pPr>
        <w:pBdr>
          <w:top w:val="nil"/>
          <w:left w:val="nil"/>
          <w:bottom w:val="nil"/>
          <w:right w:val="nil"/>
          <w:between w:val="nil"/>
        </w:pBdr>
        <w:spacing w:before="8"/>
        <w:rPr>
          <w:color w:val="000000"/>
        </w:rPr>
      </w:pPr>
    </w:p>
    <w:p w14:paraId="323453BF" w14:textId="77777777" w:rsidR="00A85DEC" w:rsidRDefault="003F511E">
      <w:pPr>
        <w:numPr>
          <w:ilvl w:val="0"/>
          <w:numId w:val="1"/>
        </w:numPr>
        <w:pBdr>
          <w:top w:val="nil"/>
          <w:left w:val="nil"/>
          <w:bottom w:val="nil"/>
          <w:right w:val="nil"/>
          <w:between w:val="nil"/>
        </w:pBdr>
        <w:tabs>
          <w:tab w:val="left" w:pos="1582"/>
        </w:tabs>
        <w:spacing w:line="242" w:lineRule="auto"/>
        <w:ind w:left="1591" w:right="166" w:hanging="730"/>
        <w:jc w:val="both"/>
        <w:rPr>
          <w:color w:val="000000"/>
          <w:sz w:val="24"/>
          <w:szCs w:val="24"/>
        </w:rPr>
      </w:pPr>
      <w:r>
        <w:rPr>
          <w:color w:val="000000"/>
          <w:sz w:val="24"/>
          <w:szCs w:val="24"/>
        </w:rPr>
        <w:t>Si un estudiante atleta sufre, o se sospecha que padece de una lesión a la cabeza mientras participaba en cualquier actividad o evento de la NIAA el alumno debe:</w:t>
      </w:r>
    </w:p>
    <w:p w14:paraId="1C7DA759" w14:textId="77777777" w:rsidR="00A85DEC" w:rsidRDefault="00A85DEC">
      <w:pPr>
        <w:pBdr>
          <w:top w:val="nil"/>
          <w:left w:val="nil"/>
          <w:bottom w:val="nil"/>
          <w:right w:val="nil"/>
          <w:between w:val="nil"/>
        </w:pBdr>
        <w:spacing w:before="4"/>
        <w:rPr>
          <w:color w:val="000000"/>
          <w:sz w:val="25"/>
          <w:szCs w:val="25"/>
        </w:rPr>
      </w:pPr>
    </w:p>
    <w:p w14:paraId="1B89B675" w14:textId="77777777" w:rsidR="00A85DEC" w:rsidRDefault="003F511E">
      <w:pPr>
        <w:numPr>
          <w:ilvl w:val="1"/>
          <w:numId w:val="1"/>
        </w:numPr>
        <w:pBdr>
          <w:top w:val="nil"/>
          <w:left w:val="nil"/>
          <w:bottom w:val="nil"/>
          <w:right w:val="nil"/>
          <w:between w:val="nil"/>
        </w:pBdr>
        <w:tabs>
          <w:tab w:val="left" w:pos="2320"/>
          <w:tab w:val="left" w:pos="2321"/>
        </w:tabs>
        <w:spacing w:before="1"/>
        <w:ind w:hanging="729"/>
        <w:rPr>
          <w:color w:val="000000"/>
          <w:sz w:val="24"/>
          <w:szCs w:val="24"/>
        </w:rPr>
      </w:pPr>
      <w:r>
        <w:rPr>
          <w:color w:val="000000"/>
          <w:sz w:val="24"/>
          <w:szCs w:val="24"/>
        </w:rPr>
        <w:t>Ser removido inmediatamente de la actividad o evento; y</w:t>
      </w:r>
    </w:p>
    <w:p w14:paraId="0D297808" w14:textId="77777777" w:rsidR="00A85DEC" w:rsidRDefault="00A85DEC">
      <w:pPr>
        <w:pBdr>
          <w:top w:val="nil"/>
          <w:left w:val="nil"/>
          <w:bottom w:val="nil"/>
          <w:right w:val="nil"/>
          <w:between w:val="nil"/>
        </w:pBdr>
        <w:spacing w:before="6"/>
        <w:rPr>
          <w:color w:val="000000"/>
          <w:sz w:val="23"/>
          <w:szCs w:val="23"/>
        </w:rPr>
      </w:pPr>
    </w:p>
    <w:p w14:paraId="0AEE7000" w14:textId="77777777" w:rsidR="00A85DEC" w:rsidRDefault="003F511E">
      <w:pPr>
        <w:numPr>
          <w:ilvl w:val="1"/>
          <w:numId w:val="1"/>
        </w:numPr>
        <w:pBdr>
          <w:top w:val="nil"/>
          <w:left w:val="nil"/>
          <w:bottom w:val="nil"/>
          <w:right w:val="nil"/>
          <w:between w:val="nil"/>
        </w:pBdr>
        <w:tabs>
          <w:tab w:val="left" w:pos="2321"/>
        </w:tabs>
        <w:ind w:left="2330" w:right="114" w:hanging="739"/>
        <w:jc w:val="both"/>
        <w:rPr>
          <w:color w:val="000000"/>
          <w:sz w:val="24"/>
          <w:szCs w:val="24"/>
        </w:rPr>
      </w:pPr>
      <w:r>
        <w:rPr>
          <w:color w:val="000000"/>
          <w:sz w:val="24"/>
          <w:szCs w:val="24"/>
        </w:rPr>
        <w:t xml:space="preserve">Sólo puede regresar a la actividad o evento si el padre, madre o tutor legal del estudiante atleta primero proporciona al administrador deportivo de la escuela con membresía, una declaración firmada </w:t>
      </w:r>
      <w:r>
        <w:rPr>
          <w:color w:val="000000"/>
          <w:sz w:val="24"/>
          <w:szCs w:val="24"/>
        </w:rPr>
        <w:t>de un proveedor de la atención médica que indique que el estudiante atleta está autorizado médicamente para participar en la actividad o evento. La declaración debe incluir la fecha en la que el alumno puede regresar a la actividad o evento.</w:t>
      </w:r>
    </w:p>
    <w:p w14:paraId="784B601A" w14:textId="77777777" w:rsidR="00A85DEC" w:rsidRDefault="00A85DEC">
      <w:pPr>
        <w:pBdr>
          <w:top w:val="nil"/>
          <w:left w:val="nil"/>
          <w:bottom w:val="nil"/>
          <w:right w:val="nil"/>
          <w:between w:val="nil"/>
        </w:pBdr>
        <w:rPr>
          <w:color w:val="000000"/>
          <w:sz w:val="23"/>
          <w:szCs w:val="23"/>
        </w:rPr>
      </w:pPr>
    </w:p>
    <w:p w14:paraId="7EB2B6CF" w14:textId="77777777" w:rsidR="00A85DEC" w:rsidRDefault="003F511E">
      <w:pPr>
        <w:numPr>
          <w:ilvl w:val="1"/>
          <w:numId w:val="1"/>
        </w:numPr>
        <w:pBdr>
          <w:top w:val="nil"/>
          <w:left w:val="nil"/>
          <w:bottom w:val="nil"/>
          <w:right w:val="nil"/>
          <w:between w:val="nil"/>
        </w:pBdr>
        <w:tabs>
          <w:tab w:val="left" w:pos="2321"/>
        </w:tabs>
        <w:spacing w:line="242" w:lineRule="auto"/>
        <w:ind w:left="2330" w:right="124" w:hanging="739"/>
        <w:jc w:val="both"/>
        <w:rPr>
          <w:color w:val="000000"/>
          <w:sz w:val="24"/>
          <w:szCs w:val="24"/>
        </w:rPr>
      </w:pPr>
      <w:r>
        <w:rPr>
          <w:color w:val="000000"/>
          <w:sz w:val="24"/>
          <w:szCs w:val="24"/>
        </w:rPr>
        <w:t>"Proveedor de la atención médica", como se utiliza en (b), arriba, significa un médico con licencia bajo el Capítulo 630 o 633 de los Estatutos Revisados de Nevada ("NRS"), un terapeuta físico con licencia bajo el Capítulo 640 de NRS o un entrenador deport</w:t>
      </w:r>
      <w:r>
        <w:rPr>
          <w:color w:val="000000"/>
          <w:sz w:val="24"/>
          <w:szCs w:val="24"/>
        </w:rPr>
        <w:t>ivo con licencia bajo el Capítulo 640B de NRS.</w:t>
      </w:r>
    </w:p>
    <w:sectPr w:rsidR="00A85DEC">
      <w:pgSz w:w="12240" w:h="15840"/>
      <w:pgMar w:top="1500" w:right="1200" w:bottom="280" w:left="1260" w:header="720" w:footer="720" w:gutter="0"/>
      <w:pgNumType w:start="1"/>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83260"/>
    <w:multiLevelType w:val="multilevel"/>
    <w:tmpl w:val="A2508364"/>
    <w:lvl w:ilvl="0">
      <w:start w:val="1"/>
      <w:numFmt w:val="decimal"/>
      <w:lvlText w:val="%1."/>
      <w:lvlJc w:val="left"/>
      <w:pPr>
        <w:ind w:left="1572" w:hanging="696"/>
      </w:pPr>
      <w:rPr>
        <w:rFonts w:ascii="Times New Roman" w:eastAsia="Times New Roman" w:hAnsi="Times New Roman" w:cs="Times New Roman"/>
        <w:sz w:val="24"/>
        <w:szCs w:val="24"/>
      </w:rPr>
    </w:lvl>
    <w:lvl w:ilvl="1">
      <w:start w:val="1"/>
      <w:numFmt w:val="lowerLetter"/>
      <w:lvlText w:val="(%2)"/>
      <w:lvlJc w:val="left"/>
      <w:pPr>
        <w:ind w:left="2320" w:hanging="730"/>
      </w:pPr>
      <w:rPr>
        <w:rFonts w:ascii="Times New Roman" w:eastAsia="Times New Roman" w:hAnsi="Times New Roman" w:cs="Times New Roman"/>
        <w:sz w:val="24"/>
        <w:szCs w:val="24"/>
      </w:rPr>
    </w:lvl>
    <w:lvl w:ilvl="2">
      <w:numFmt w:val="bullet"/>
      <w:lvlText w:val="•"/>
      <w:lvlJc w:val="left"/>
      <w:pPr>
        <w:ind w:left="3148" w:hanging="730"/>
      </w:pPr>
    </w:lvl>
    <w:lvl w:ilvl="3">
      <w:numFmt w:val="bullet"/>
      <w:lvlText w:val="•"/>
      <w:lvlJc w:val="left"/>
      <w:pPr>
        <w:ind w:left="3977" w:hanging="730"/>
      </w:pPr>
    </w:lvl>
    <w:lvl w:ilvl="4">
      <w:numFmt w:val="bullet"/>
      <w:lvlText w:val="•"/>
      <w:lvlJc w:val="left"/>
      <w:pPr>
        <w:ind w:left="4806" w:hanging="730"/>
      </w:pPr>
    </w:lvl>
    <w:lvl w:ilvl="5">
      <w:numFmt w:val="bullet"/>
      <w:lvlText w:val="•"/>
      <w:lvlJc w:val="left"/>
      <w:pPr>
        <w:ind w:left="5635" w:hanging="730"/>
      </w:pPr>
    </w:lvl>
    <w:lvl w:ilvl="6">
      <w:numFmt w:val="bullet"/>
      <w:lvlText w:val="•"/>
      <w:lvlJc w:val="left"/>
      <w:pPr>
        <w:ind w:left="6464" w:hanging="730"/>
      </w:pPr>
    </w:lvl>
    <w:lvl w:ilvl="7">
      <w:numFmt w:val="bullet"/>
      <w:lvlText w:val="•"/>
      <w:lvlJc w:val="left"/>
      <w:pPr>
        <w:ind w:left="7293" w:hanging="730"/>
      </w:pPr>
    </w:lvl>
    <w:lvl w:ilvl="8">
      <w:numFmt w:val="bullet"/>
      <w:lvlText w:val="•"/>
      <w:lvlJc w:val="left"/>
      <w:pPr>
        <w:ind w:left="8122" w:hanging="73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DEC"/>
    <w:rsid w:val="003F511E"/>
    <w:rsid w:val="00A85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99C40"/>
  <w15:docId w15:val="{DF8AC300-4E67-4FCA-B837-305D98A6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s-MX"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3791</Characters>
  <Application>Microsoft Office Word</Application>
  <DocSecurity>0</DocSecurity>
  <Lines>31</Lines>
  <Paragraphs>8</Paragraphs>
  <ScaleCrop>false</ScaleCrop>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Gibeaut</dc:creator>
  <cp:lastModifiedBy>Liz Gibeaut</cp:lastModifiedBy>
  <cp:revision>2</cp:revision>
  <dcterms:created xsi:type="dcterms:W3CDTF">2020-07-14T18:07:00Z</dcterms:created>
  <dcterms:modified xsi:type="dcterms:W3CDTF">2020-07-14T18:07:00Z</dcterms:modified>
</cp:coreProperties>
</file>