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430" w:type="dxa"/>
        <w:tblInd w:w="-72" w:type="dxa"/>
        <w:tblLayout w:type="fixed"/>
        <w:tblLook w:val="04A0" w:firstRow="1" w:lastRow="0" w:firstColumn="1" w:lastColumn="0" w:noHBand="0" w:noVBand="1"/>
      </w:tblPr>
      <w:tblGrid>
        <w:gridCol w:w="2520"/>
        <w:gridCol w:w="3240"/>
        <w:gridCol w:w="3330"/>
        <w:gridCol w:w="2340"/>
      </w:tblGrid>
      <w:tr w:rsidR="00DD65B1" w:rsidTr="00B63E5B">
        <w:trPr>
          <w:trHeight w:val="1520"/>
        </w:trPr>
        <w:tc>
          <w:tcPr>
            <w:tcW w:w="2520" w:type="dxa"/>
            <w:vAlign w:val="center"/>
          </w:tcPr>
          <w:p w:rsidR="00DD65B1" w:rsidRDefault="00F161C4" w:rsidP="00F161C4">
            <w:pPr>
              <w:ind w:left="-108"/>
              <w:jc w:val="center"/>
            </w:pPr>
            <w:bookmarkStart w:id="0" w:name="_GoBack"/>
            <w:bookmarkEnd w:id="0"/>
            <w:r>
              <w:rPr>
                <w:noProof/>
              </w:rPr>
              <w:drawing>
                <wp:inline distT="0" distB="0" distL="0" distR="0" wp14:anchorId="4F2C812B" wp14:editId="79641BCB">
                  <wp:extent cx="1240155" cy="612140"/>
                  <wp:effectExtent l="0" t="0" r="0" b="0"/>
                  <wp:docPr id="1" name="Picture 1" descr="Maryland State Department of Education Logo">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 name="Picture 1" descr="Maryland State Department of Education Logo">
                            <a:hlinkClick r:id="rId6"/>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0155" cy="612140"/>
                          </a:xfrm>
                          <a:prstGeom prst="rect">
                            <a:avLst/>
                          </a:prstGeom>
                          <a:noFill/>
                          <a:ln>
                            <a:noFill/>
                          </a:ln>
                        </pic:spPr>
                      </pic:pic>
                    </a:graphicData>
                  </a:graphic>
                </wp:inline>
              </w:drawing>
            </w:r>
          </w:p>
        </w:tc>
        <w:tc>
          <w:tcPr>
            <w:tcW w:w="3240" w:type="dxa"/>
          </w:tcPr>
          <w:p w:rsidR="00E4180F" w:rsidRDefault="00E4180F" w:rsidP="00A06C16">
            <w:pPr>
              <w:pStyle w:val="Header"/>
              <w:rPr>
                <w:rFonts w:ascii="Calibri" w:hAnsi="Calibri"/>
                <w:b/>
                <w:sz w:val="20"/>
                <w:szCs w:val="20"/>
              </w:rPr>
            </w:pPr>
            <w:r>
              <w:rPr>
                <w:rFonts w:ascii="Calibri" w:hAnsi="Calibri"/>
                <w:b/>
                <w:sz w:val="20"/>
                <w:szCs w:val="20"/>
              </w:rPr>
              <w:t>Karen B. Salmon, Ph.D.</w:t>
            </w:r>
          </w:p>
          <w:p w:rsidR="00DD65B1" w:rsidRPr="00A06C16" w:rsidRDefault="00E4180F" w:rsidP="00A06C16">
            <w:pPr>
              <w:rPr>
                <w:rFonts w:ascii="Calibri" w:hAnsi="Calibri"/>
                <w:b/>
                <w:sz w:val="20"/>
                <w:szCs w:val="20"/>
              </w:rPr>
            </w:pPr>
            <w:r>
              <w:rPr>
                <w:rFonts w:ascii="Calibri" w:hAnsi="Calibri"/>
                <w:b/>
                <w:sz w:val="20"/>
                <w:szCs w:val="20"/>
              </w:rPr>
              <w:t>State Superintendent</w:t>
            </w:r>
            <w:r w:rsidR="00A06C16">
              <w:rPr>
                <w:rFonts w:ascii="Calibri" w:hAnsi="Calibri"/>
                <w:b/>
                <w:sz w:val="20"/>
                <w:szCs w:val="20"/>
              </w:rPr>
              <w:t xml:space="preserve"> </w:t>
            </w:r>
            <w:r>
              <w:rPr>
                <w:rFonts w:ascii="Calibri" w:hAnsi="Calibri"/>
                <w:b/>
                <w:sz w:val="20"/>
                <w:szCs w:val="20"/>
              </w:rPr>
              <w:t>of Schools</w:t>
            </w:r>
          </w:p>
        </w:tc>
        <w:tc>
          <w:tcPr>
            <w:tcW w:w="3330" w:type="dxa"/>
          </w:tcPr>
          <w:p w:rsidR="00DD65B1" w:rsidRPr="0033584F" w:rsidRDefault="00DD65B1">
            <w:pPr>
              <w:rPr>
                <w:rFonts w:asciiTheme="minorHAnsi" w:hAnsiTheme="minorHAnsi" w:cstheme="minorHAnsi"/>
                <w:b/>
                <w:sz w:val="44"/>
                <w:szCs w:val="44"/>
              </w:rPr>
            </w:pPr>
            <w:r w:rsidRPr="0033584F">
              <w:rPr>
                <w:rFonts w:asciiTheme="minorHAnsi" w:hAnsiTheme="minorHAnsi" w:cstheme="minorHAnsi"/>
                <w:b/>
                <w:sz w:val="44"/>
                <w:szCs w:val="44"/>
              </w:rPr>
              <w:t>INFORMAL KINSHIP CARE</w:t>
            </w:r>
          </w:p>
        </w:tc>
        <w:tc>
          <w:tcPr>
            <w:tcW w:w="2340" w:type="dxa"/>
          </w:tcPr>
          <w:p w:rsidR="00DD65B1" w:rsidRPr="0033584F" w:rsidRDefault="00DD65B1" w:rsidP="00DD65B1">
            <w:pPr>
              <w:jc w:val="center"/>
              <w:rPr>
                <w:rFonts w:asciiTheme="minorHAnsi" w:hAnsiTheme="minorHAnsi" w:cstheme="minorHAnsi"/>
                <w:b/>
                <w:sz w:val="22"/>
                <w:szCs w:val="22"/>
              </w:rPr>
            </w:pPr>
            <w:r w:rsidRPr="0033584F">
              <w:rPr>
                <w:rFonts w:asciiTheme="minorHAnsi" w:hAnsiTheme="minorHAnsi" w:cstheme="minorHAnsi"/>
                <w:b/>
                <w:sz w:val="22"/>
                <w:szCs w:val="22"/>
              </w:rPr>
              <w:t>FACT SHEET</w:t>
            </w:r>
          </w:p>
          <w:p w:rsidR="00DD65B1" w:rsidRPr="00DD65B1" w:rsidRDefault="00DD65B1" w:rsidP="00DD65B1">
            <w:pPr>
              <w:jc w:val="center"/>
              <w:rPr>
                <w:b/>
              </w:rPr>
            </w:pPr>
          </w:p>
          <w:p w:rsidR="00DD65B1" w:rsidRPr="0033584F" w:rsidRDefault="00DD65B1" w:rsidP="00DD65B1">
            <w:pPr>
              <w:jc w:val="center"/>
              <w:rPr>
                <w:rFonts w:asciiTheme="minorHAnsi" w:hAnsiTheme="minorHAnsi" w:cstheme="minorHAnsi"/>
                <w:b/>
                <w:sz w:val="72"/>
                <w:szCs w:val="72"/>
              </w:rPr>
            </w:pPr>
            <w:r w:rsidRPr="0033584F">
              <w:rPr>
                <w:rFonts w:asciiTheme="minorHAnsi" w:hAnsiTheme="minorHAnsi" w:cstheme="minorHAnsi"/>
                <w:b/>
                <w:sz w:val="72"/>
                <w:szCs w:val="72"/>
              </w:rPr>
              <w:t>84</w:t>
            </w:r>
          </w:p>
          <w:p w:rsidR="00DD65B1" w:rsidRPr="0033584F" w:rsidRDefault="002E5C4A" w:rsidP="00C56A01">
            <w:pPr>
              <w:jc w:val="center"/>
              <w:rPr>
                <w:rFonts w:asciiTheme="minorHAnsi" w:hAnsiTheme="minorHAnsi" w:cstheme="minorHAnsi"/>
                <w:b/>
                <w:i/>
                <w:sz w:val="18"/>
                <w:szCs w:val="18"/>
              </w:rPr>
            </w:pPr>
            <w:r>
              <w:rPr>
                <w:rFonts w:asciiTheme="minorHAnsi" w:hAnsiTheme="minorHAnsi" w:cstheme="minorHAnsi"/>
                <w:b/>
                <w:i/>
                <w:sz w:val="18"/>
                <w:szCs w:val="18"/>
              </w:rPr>
              <w:t>November</w:t>
            </w:r>
            <w:r w:rsidR="00A80246">
              <w:rPr>
                <w:rFonts w:asciiTheme="minorHAnsi" w:hAnsiTheme="minorHAnsi" w:cstheme="minorHAnsi"/>
                <w:b/>
                <w:i/>
                <w:sz w:val="18"/>
                <w:szCs w:val="18"/>
              </w:rPr>
              <w:t>, 2020</w:t>
            </w:r>
          </w:p>
        </w:tc>
      </w:tr>
      <w:tr w:rsidR="00DD65B1" w:rsidTr="00B63E5B">
        <w:tc>
          <w:tcPr>
            <w:tcW w:w="11430" w:type="dxa"/>
            <w:gridSpan w:val="4"/>
          </w:tcPr>
          <w:p w:rsidR="00DD65B1" w:rsidRPr="00277455" w:rsidRDefault="00DD65B1" w:rsidP="005903E8">
            <w:pPr>
              <w:pStyle w:val="Header"/>
              <w:spacing w:before="120"/>
              <w:jc w:val="center"/>
              <w:rPr>
                <w:rFonts w:ascii="Calibri" w:hAnsi="Calibri"/>
                <w:sz w:val="20"/>
                <w:szCs w:val="20"/>
              </w:rPr>
            </w:pPr>
            <w:r w:rsidRPr="00277455">
              <w:rPr>
                <w:rFonts w:ascii="Calibri" w:hAnsi="Calibri"/>
                <w:sz w:val="20"/>
                <w:szCs w:val="20"/>
              </w:rPr>
              <w:t xml:space="preserve">200 West Baltimore Street </w:t>
            </w:r>
            <w:r w:rsidRPr="00277455">
              <w:rPr>
                <w:rFonts w:ascii="Century Gothic" w:hAnsi="Century Gothic"/>
                <w:sz w:val="20"/>
                <w:szCs w:val="20"/>
              </w:rPr>
              <w:t>•</w:t>
            </w:r>
            <w:r w:rsidRPr="00277455">
              <w:rPr>
                <w:rFonts w:ascii="Calibri" w:hAnsi="Calibri"/>
                <w:sz w:val="20"/>
                <w:szCs w:val="20"/>
              </w:rPr>
              <w:t xml:space="preserve"> Baltimore, MD 21201 </w:t>
            </w:r>
            <w:r w:rsidRPr="00277455">
              <w:rPr>
                <w:rFonts w:ascii="Century Gothic" w:hAnsi="Century Gothic"/>
                <w:sz w:val="20"/>
                <w:szCs w:val="20"/>
              </w:rPr>
              <w:t>•</w:t>
            </w:r>
            <w:r w:rsidRPr="00277455">
              <w:rPr>
                <w:rFonts w:ascii="Calibri" w:hAnsi="Calibri"/>
                <w:sz w:val="20"/>
                <w:szCs w:val="20"/>
              </w:rPr>
              <w:t xml:space="preserve"> 410-767-0100 </w:t>
            </w:r>
            <w:r w:rsidRPr="00277455">
              <w:rPr>
                <w:rFonts w:ascii="Century Gothic" w:hAnsi="Century Gothic"/>
                <w:sz w:val="20"/>
                <w:szCs w:val="20"/>
              </w:rPr>
              <w:t>•</w:t>
            </w:r>
            <w:r w:rsidRPr="00277455">
              <w:rPr>
                <w:rFonts w:ascii="Calibri" w:hAnsi="Calibri"/>
                <w:sz w:val="20"/>
                <w:szCs w:val="20"/>
              </w:rPr>
              <w:t xml:space="preserve"> 410-333-6442 TTY/TDD </w:t>
            </w:r>
            <w:r w:rsidRPr="00277455">
              <w:rPr>
                <w:rFonts w:ascii="Century Gothic" w:hAnsi="Century Gothic"/>
                <w:sz w:val="20"/>
                <w:szCs w:val="20"/>
              </w:rPr>
              <w:t xml:space="preserve">• </w:t>
            </w:r>
            <w:r w:rsidRPr="00277455">
              <w:rPr>
                <w:rFonts w:ascii="Calibri" w:hAnsi="Calibri"/>
                <w:sz w:val="20"/>
                <w:szCs w:val="20"/>
              </w:rPr>
              <w:t>MarylandPublicSchools.org</w:t>
            </w:r>
          </w:p>
        </w:tc>
      </w:tr>
    </w:tbl>
    <w:tbl>
      <w:tblPr>
        <w:tblW w:w="11430" w:type="dxa"/>
        <w:tblInd w:w="-7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790"/>
        <w:gridCol w:w="8640"/>
      </w:tblGrid>
      <w:tr w:rsidR="00964335" w:rsidRPr="00D019D8" w:rsidTr="006F2AB4">
        <w:tc>
          <w:tcPr>
            <w:tcW w:w="2790" w:type="dxa"/>
          </w:tcPr>
          <w:p w:rsidR="00964335" w:rsidRPr="002337BE" w:rsidRDefault="00964335" w:rsidP="005903E8">
            <w:pPr>
              <w:autoSpaceDE w:val="0"/>
              <w:autoSpaceDN w:val="0"/>
              <w:adjustRightInd w:val="0"/>
              <w:rPr>
                <w:rFonts w:asciiTheme="minorHAnsi" w:hAnsiTheme="minorHAnsi" w:cstheme="minorHAnsi"/>
                <w:b/>
                <w:i/>
                <w:sz w:val="28"/>
                <w:szCs w:val="28"/>
              </w:rPr>
            </w:pPr>
          </w:p>
        </w:tc>
        <w:tc>
          <w:tcPr>
            <w:tcW w:w="8640" w:type="dxa"/>
          </w:tcPr>
          <w:p w:rsidR="00964335" w:rsidRDefault="00964335" w:rsidP="005903E8">
            <w:pPr>
              <w:autoSpaceDE w:val="0"/>
              <w:autoSpaceDN w:val="0"/>
              <w:adjustRightInd w:val="0"/>
              <w:rPr>
                <w:rFonts w:asciiTheme="minorHAnsi" w:hAnsiTheme="minorHAnsi" w:cstheme="minorHAnsi"/>
                <w:color w:val="0C0C0C"/>
                <w:sz w:val="22"/>
                <w:szCs w:val="22"/>
              </w:rPr>
            </w:pPr>
          </w:p>
        </w:tc>
      </w:tr>
      <w:tr w:rsidR="0033584F" w:rsidRPr="00D019D8" w:rsidTr="006F2AB4">
        <w:tc>
          <w:tcPr>
            <w:tcW w:w="2790" w:type="dxa"/>
          </w:tcPr>
          <w:p w:rsidR="00EE52F6" w:rsidRPr="002337BE" w:rsidRDefault="00EE52F6" w:rsidP="005903E8">
            <w:pPr>
              <w:autoSpaceDE w:val="0"/>
              <w:autoSpaceDN w:val="0"/>
              <w:adjustRightInd w:val="0"/>
              <w:rPr>
                <w:rFonts w:asciiTheme="minorHAnsi" w:hAnsiTheme="minorHAnsi" w:cstheme="minorHAnsi"/>
                <w:b/>
                <w:i/>
                <w:sz w:val="28"/>
                <w:szCs w:val="28"/>
              </w:rPr>
            </w:pPr>
          </w:p>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What is informal kinship care?</w:t>
            </w:r>
          </w:p>
          <w:p w:rsidR="0033584F" w:rsidRPr="002337BE" w:rsidRDefault="0033584F" w:rsidP="005903E8">
            <w:pPr>
              <w:rPr>
                <w:rFonts w:asciiTheme="minorHAnsi" w:hAnsiTheme="minorHAnsi" w:cstheme="minorHAnsi"/>
                <w:b/>
                <w:i/>
                <w:sz w:val="28"/>
                <w:szCs w:val="28"/>
              </w:rPr>
            </w:pPr>
          </w:p>
        </w:tc>
        <w:tc>
          <w:tcPr>
            <w:tcW w:w="8640" w:type="dxa"/>
          </w:tcPr>
          <w:p w:rsidR="00EE52F6" w:rsidRDefault="00EE52F6" w:rsidP="005903E8">
            <w:pPr>
              <w:autoSpaceDE w:val="0"/>
              <w:autoSpaceDN w:val="0"/>
              <w:adjustRightInd w:val="0"/>
              <w:rPr>
                <w:rFonts w:asciiTheme="minorHAnsi" w:hAnsiTheme="minorHAnsi" w:cstheme="minorHAnsi"/>
                <w:color w:val="0C0C0C"/>
                <w:sz w:val="22"/>
                <w:szCs w:val="22"/>
              </w:rPr>
            </w:pPr>
          </w:p>
          <w:p w:rsidR="0033584F" w:rsidRPr="0033584F" w:rsidRDefault="0033584F" w:rsidP="005903E8">
            <w:pPr>
              <w:autoSpaceDE w:val="0"/>
              <w:autoSpaceDN w:val="0"/>
              <w:adjustRightInd w:val="0"/>
              <w:rPr>
                <w:rFonts w:asciiTheme="minorHAnsi" w:hAnsiTheme="minorHAnsi" w:cstheme="minorHAnsi"/>
                <w:color w:val="0C0C0C"/>
                <w:sz w:val="22"/>
                <w:szCs w:val="22"/>
              </w:rPr>
            </w:pPr>
            <w:r w:rsidRPr="0033584F">
              <w:rPr>
                <w:rFonts w:asciiTheme="minorHAnsi" w:hAnsiTheme="minorHAnsi" w:cstheme="minorHAnsi"/>
                <w:color w:val="0C0C0C"/>
                <w:sz w:val="22"/>
                <w:szCs w:val="22"/>
              </w:rPr>
              <w:t>Informal kinship care refers to a living arrangement in which a relative of a child, who is not in the care</w:t>
            </w:r>
            <w:r w:rsidRPr="0033584F">
              <w:rPr>
                <w:rFonts w:asciiTheme="minorHAnsi" w:hAnsiTheme="minorHAnsi" w:cstheme="minorHAnsi"/>
                <w:color w:val="303030"/>
                <w:sz w:val="22"/>
                <w:szCs w:val="22"/>
              </w:rPr>
              <w:t xml:space="preserve">, </w:t>
            </w:r>
            <w:r w:rsidRPr="0033584F">
              <w:rPr>
                <w:rFonts w:asciiTheme="minorHAnsi" w:hAnsiTheme="minorHAnsi" w:cstheme="minorHAnsi"/>
                <w:color w:val="0C0C0C"/>
                <w:sz w:val="22"/>
                <w:szCs w:val="22"/>
              </w:rPr>
              <w:t>custody</w:t>
            </w:r>
            <w:r w:rsidRPr="0033584F">
              <w:rPr>
                <w:rFonts w:asciiTheme="minorHAnsi" w:hAnsiTheme="minorHAnsi" w:cstheme="minorHAnsi"/>
                <w:color w:val="303030"/>
                <w:sz w:val="22"/>
                <w:szCs w:val="22"/>
              </w:rPr>
              <w:t xml:space="preserve">, </w:t>
            </w:r>
            <w:r w:rsidRPr="0033584F">
              <w:rPr>
                <w:rFonts w:asciiTheme="minorHAnsi" w:hAnsiTheme="minorHAnsi" w:cstheme="minorHAnsi"/>
                <w:color w:val="0C0C0C"/>
                <w:sz w:val="22"/>
                <w:szCs w:val="22"/>
              </w:rPr>
              <w:t>or guardianship of the local department of social services, provides for the care and custody of the child due to a serious family hardship. The relative must provide care for the child 24 hours a day, seven days a week.</w:t>
            </w:r>
          </w:p>
          <w:p w:rsidR="0033584F" w:rsidRPr="0033584F" w:rsidRDefault="0033584F" w:rsidP="005903E8">
            <w:pPr>
              <w:autoSpaceDE w:val="0"/>
              <w:autoSpaceDN w:val="0"/>
              <w:adjustRightInd w:val="0"/>
              <w:rPr>
                <w:rFonts w:asciiTheme="minorHAnsi" w:hAnsiTheme="minorHAnsi" w:cstheme="minorHAnsi"/>
                <w:sz w:val="22"/>
                <w:szCs w:val="22"/>
              </w:rPr>
            </w:pP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Who is considered a relative?</w:t>
            </w:r>
          </w:p>
          <w:p w:rsidR="0033584F" w:rsidRPr="002337BE" w:rsidRDefault="0033584F" w:rsidP="005903E8">
            <w:pPr>
              <w:rPr>
                <w:rFonts w:asciiTheme="minorHAnsi" w:hAnsiTheme="minorHAnsi" w:cstheme="minorHAnsi"/>
                <w:b/>
                <w:i/>
                <w:sz w:val="28"/>
                <w:szCs w:val="28"/>
              </w:rPr>
            </w:pP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color w:val="0C0C0C"/>
                <w:sz w:val="22"/>
                <w:szCs w:val="22"/>
              </w:rPr>
              <w:t>A relative means an adult related to the child by blood or marriage.</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What constitutes a serious family hardship?</w:t>
            </w: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color w:val="0C0C0C"/>
                <w:sz w:val="22"/>
                <w:szCs w:val="22"/>
              </w:rPr>
              <w:t>A serious family hardship means one of the following has occurred to the parent or legal guardian of the child: death</w:t>
            </w:r>
            <w:r w:rsidRPr="0033584F">
              <w:rPr>
                <w:rFonts w:asciiTheme="minorHAnsi" w:hAnsiTheme="minorHAnsi" w:cstheme="minorHAnsi"/>
                <w:color w:val="303030"/>
                <w:sz w:val="22"/>
                <w:szCs w:val="22"/>
              </w:rPr>
              <w:t xml:space="preserve">, </w:t>
            </w:r>
            <w:r w:rsidRPr="0033584F">
              <w:rPr>
                <w:rFonts w:asciiTheme="minorHAnsi" w:hAnsiTheme="minorHAnsi" w:cstheme="minorHAnsi"/>
                <w:color w:val="0C0C0C"/>
                <w:sz w:val="22"/>
                <w:szCs w:val="22"/>
              </w:rPr>
              <w:t>serious illness, drug addiction, incarceration</w:t>
            </w:r>
            <w:r w:rsidRPr="0033584F">
              <w:rPr>
                <w:rFonts w:asciiTheme="minorHAnsi" w:hAnsiTheme="minorHAnsi" w:cstheme="minorHAnsi"/>
                <w:color w:val="303030"/>
                <w:sz w:val="22"/>
                <w:szCs w:val="22"/>
              </w:rPr>
              <w:t xml:space="preserve">, </w:t>
            </w:r>
            <w:r w:rsidRPr="0033584F">
              <w:rPr>
                <w:rFonts w:asciiTheme="minorHAnsi" w:hAnsiTheme="minorHAnsi" w:cstheme="minorHAnsi"/>
                <w:color w:val="0C0C0C"/>
                <w:sz w:val="22"/>
                <w:szCs w:val="22"/>
              </w:rPr>
              <w:t>abandonment of the child, or assignment to active military duty</w:t>
            </w:r>
            <w:r w:rsidRPr="0033584F">
              <w:rPr>
                <w:rFonts w:asciiTheme="minorHAnsi" w:hAnsiTheme="minorHAnsi" w:cstheme="minorHAnsi"/>
                <w:color w:val="303030"/>
                <w:sz w:val="22"/>
                <w:szCs w:val="22"/>
              </w:rPr>
              <w:t>.</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Is there a domicile requirement?</w:t>
            </w:r>
          </w:p>
        </w:tc>
        <w:tc>
          <w:tcPr>
            <w:tcW w:w="8640" w:type="dxa"/>
          </w:tcPr>
          <w:p w:rsidR="0033584F" w:rsidRPr="0033584F" w:rsidRDefault="0033584F" w:rsidP="002E5C4A">
            <w:pPr>
              <w:autoSpaceDE w:val="0"/>
              <w:autoSpaceDN w:val="0"/>
              <w:adjustRightInd w:val="0"/>
              <w:rPr>
                <w:rFonts w:asciiTheme="minorHAnsi" w:hAnsiTheme="minorHAnsi" w:cstheme="minorHAnsi"/>
                <w:color w:val="000000"/>
                <w:sz w:val="22"/>
                <w:szCs w:val="22"/>
              </w:rPr>
            </w:pPr>
            <w:r w:rsidRPr="0033584F">
              <w:rPr>
                <w:rFonts w:asciiTheme="minorHAnsi" w:hAnsiTheme="minorHAnsi" w:cstheme="minorHAnsi"/>
                <w:color w:val="0C0C0C"/>
                <w:sz w:val="22"/>
                <w:szCs w:val="22"/>
              </w:rPr>
              <w:t xml:space="preserve">Yes. The law applies to a child who is a resident of the State of Maryland prior to going into informal kinship care. </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What must be submitted with the informal kinship care enrollment request?</w:t>
            </w:r>
          </w:p>
          <w:p w:rsidR="0033584F" w:rsidRPr="002337BE" w:rsidRDefault="0033584F" w:rsidP="005903E8">
            <w:pPr>
              <w:autoSpaceDE w:val="0"/>
              <w:autoSpaceDN w:val="0"/>
              <w:adjustRightInd w:val="0"/>
              <w:rPr>
                <w:rFonts w:asciiTheme="minorHAnsi" w:hAnsiTheme="minorHAnsi" w:cstheme="minorHAnsi"/>
                <w:b/>
                <w:i/>
                <w:sz w:val="28"/>
                <w:szCs w:val="28"/>
              </w:rPr>
            </w:pP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 xml:space="preserve">The relative must submit a sworn affidavit verifying the informal kinship care relationship at the time of the enrollment request.  The law requires that the affidavit contain specific information and be in a specific format.  Although the affidavit need not be notarized, the relative must sign it attesting to the truth of its contents under penalty of perjury.  If the student remains in informal kinship care, the relative must annually file a new affidavit with the school system at least two weeks prior to the start of the school year. </w:t>
            </w:r>
          </w:p>
          <w:p w:rsidR="0033584F" w:rsidRPr="0033584F" w:rsidRDefault="0033584F" w:rsidP="005903E8">
            <w:pPr>
              <w:autoSpaceDE w:val="0"/>
              <w:autoSpaceDN w:val="0"/>
              <w:adjustRightInd w:val="0"/>
              <w:rPr>
                <w:rFonts w:asciiTheme="minorHAnsi" w:hAnsiTheme="minorHAnsi" w:cstheme="minorHAnsi"/>
                <w:sz w:val="22"/>
                <w:szCs w:val="22"/>
              </w:rPr>
            </w:pP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Where can a relative obtain an affidavit?</w:t>
            </w:r>
          </w:p>
        </w:tc>
        <w:tc>
          <w:tcPr>
            <w:tcW w:w="8640" w:type="dxa"/>
          </w:tcPr>
          <w:p w:rsidR="0033584F" w:rsidRPr="0033584F" w:rsidRDefault="0033584F" w:rsidP="005903E8">
            <w:pPr>
              <w:autoSpaceDE w:val="0"/>
              <w:autoSpaceDN w:val="0"/>
              <w:adjustRightInd w:val="0"/>
              <w:rPr>
                <w:rFonts w:asciiTheme="minorHAnsi" w:hAnsiTheme="minorHAnsi" w:cstheme="minorHAnsi"/>
                <w:color w:val="0C0C0C"/>
                <w:sz w:val="22"/>
                <w:szCs w:val="22"/>
              </w:rPr>
            </w:pPr>
            <w:r w:rsidRPr="0033584F">
              <w:rPr>
                <w:rFonts w:asciiTheme="minorHAnsi" w:hAnsiTheme="minorHAnsi" w:cstheme="minorHAnsi"/>
                <w:color w:val="0C0C0C"/>
                <w:sz w:val="22"/>
                <w:szCs w:val="22"/>
              </w:rPr>
              <w:t>The affidavit may be obtained at the local board of education</w:t>
            </w:r>
            <w:r w:rsidRPr="0033584F">
              <w:rPr>
                <w:rFonts w:asciiTheme="minorHAnsi" w:hAnsiTheme="minorHAnsi" w:cstheme="minorHAnsi"/>
                <w:color w:val="404040"/>
                <w:sz w:val="22"/>
                <w:szCs w:val="22"/>
              </w:rPr>
              <w:t xml:space="preserve">, local </w:t>
            </w:r>
            <w:r w:rsidRPr="0033584F">
              <w:rPr>
                <w:rFonts w:asciiTheme="minorHAnsi" w:hAnsiTheme="minorHAnsi" w:cstheme="minorHAnsi"/>
                <w:color w:val="0C0C0C"/>
                <w:sz w:val="22"/>
                <w:szCs w:val="22"/>
              </w:rPr>
              <w:t xml:space="preserve">department of social services, and the local office on aging. </w:t>
            </w:r>
          </w:p>
          <w:p w:rsidR="0033584F" w:rsidRPr="0033584F" w:rsidRDefault="0033584F" w:rsidP="005903E8">
            <w:pPr>
              <w:autoSpaceDE w:val="0"/>
              <w:autoSpaceDN w:val="0"/>
              <w:adjustRightInd w:val="0"/>
              <w:rPr>
                <w:rFonts w:asciiTheme="minorHAnsi" w:hAnsiTheme="minorHAnsi" w:cstheme="minorHAnsi"/>
                <w:sz w:val="22"/>
                <w:szCs w:val="22"/>
              </w:rPr>
            </w:pP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Is documentation, in addition to the affidavit, required to be provided?</w:t>
            </w:r>
          </w:p>
        </w:tc>
        <w:tc>
          <w:tcPr>
            <w:tcW w:w="8640" w:type="dxa"/>
          </w:tcPr>
          <w:p w:rsidR="0033584F" w:rsidRPr="00CC2CFD" w:rsidRDefault="0033584F" w:rsidP="005903E8">
            <w:pPr>
              <w:rPr>
                <w:rFonts w:asciiTheme="minorHAnsi" w:hAnsiTheme="minorHAnsi" w:cstheme="minorHAnsi"/>
                <w:b/>
                <w:sz w:val="22"/>
                <w:szCs w:val="22"/>
              </w:rPr>
            </w:pPr>
            <w:r w:rsidRPr="0033584F">
              <w:rPr>
                <w:rFonts w:asciiTheme="minorHAnsi" w:hAnsiTheme="minorHAnsi" w:cstheme="minorHAnsi"/>
                <w:b/>
                <w:sz w:val="22"/>
                <w:szCs w:val="22"/>
              </w:rPr>
              <w:t>It is within the discretion of the local superintendent whether or not to require documentation of a serious family hardship.</w:t>
            </w:r>
            <w:r w:rsidRPr="0033584F">
              <w:rPr>
                <w:rFonts w:asciiTheme="minorHAnsi" w:hAnsiTheme="minorHAnsi" w:cstheme="minorHAnsi"/>
                <w:sz w:val="22"/>
                <w:szCs w:val="22"/>
              </w:rPr>
              <w:t> The local superintendent may also ask for, where possible, the telephone number and address of any authority authorized to share verifying information.</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If additional documentation is required, when should it be provided?</w:t>
            </w:r>
          </w:p>
        </w:tc>
        <w:tc>
          <w:tcPr>
            <w:tcW w:w="8640" w:type="dxa"/>
          </w:tcPr>
          <w:p w:rsidR="0033584F" w:rsidRDefault="0033584F" w:rsidP="00964335">
            <w:pPr>
              <w:rPr>
                <w:rFonts w:asciiTheme="minorHAnsi" w:hAnsiTheme="minorHAnsi" w:cstheme="minorHAnsi"/>
                <w:sz w:val="22"/>
                <w:szCs w:val="22"/>
              </w:rPr>
            </w:pPr>
            <w:r w:rsidRPr="0033584F">
              <w:rPr>
                <w:rFonts w:asciiTheme="minorHAnsi" w:hAnsiTheme="minorHAnsi" w:cstheme="minorHAnsi"/>
                <w:sz w:val="22"/>
                <w:szCs w:val="22"/>
              </w:rPr>
              <w:t>Ideally, the supporting documentation should be provided to the school system with the affidavit at the time of enrollment, but this is often not possible.  The school system is required to enroll the child pending receipt of the additional information.  If the information is not provided within 30 days of submitting the affidavit, the school system can charge the relative tuition or remove the child from school.</w:t>
            </w:r>
          </w:p>
          <w:p w:rsidR="002E5C4A" w:rsidRDefault="00A06C16" w:rsidP="00A06C16">
            <w:pPr>
              <w:tabs>
                <w:tab w:val="left" w:pos="6787"/>
              </w:tabs>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b/>
            </w:r>
          </w:p>
          <w:p w:rsidR="002E5C4A" w:rsidRDefault="002E5C4A" w:rsidP="00A06C16">
            <w:pPr>
              <w:tabs>
                <w:tab w:val="left" w:pos="6787"/>
              </w:tabs>
              <w:autoSpaceDE w:val="0"/>
              <w:autoSpaceDN w:val="0"/>
              <w:adjustRightInd w:val="0"/>
              <w:rPr>
                <w:rFonts w:asciiTheme="minorHAnsi" w:hAnsiTheme="minorHAnsi" w:cstheme="minorHAnsi"/>
                <w:sz w:val="22"/>
                <w:szCs w:val="22"/>
              </w:rPr>
            </w:pPr>
          </w:p>
          <w:p w:rsidR="002E5C4A" w:rsidRDefault="002E5C4A" w:rsidP="00A06C16">
            <w:pPr>
              <w:tabs>
                <w:tab w:val="left" w:pos="6787"/>
              </w:tabs>
              <w:autoSpaceDE w:val="0"/>
              <w:autoSpaceDN w:val="0"/>
              <w:adjustRightInd w:val="0"/>
              <w:rPr>
                <w:rFonts w:asciiTheme="minorHAnsi" w:hAnsiTheme="minorHAnsi" w:cstheme="minorHAnsi"/>
                <w:sz w:val="22"/>
                <w:szCs w:val="22"/>
              </w:rPr>
            </w:pPr>
          </w:p>
          <w:p w:rsidR="002E5C4A" w:rsidRDefault="002E5C4A" w:rsidP="00A06C16">
            <w:pPr>
              <w:tabs>
                <w:tab w:val="left" w:pos="6787"/>
              </w:tabs>
              <w:autoSpaceDE w:val="0"/>
              <w:autoSpaceDN w:val="0"/>
              <w:adjustRightInd w:val="0"/>
              <w:rPr>
                <w:rFonts w:asciiTheme="minorHAnsi" w:hAnsiTheme="minorHAnsi" w:cstheme="minorHAnsi"/>
                <w:sz w:val="22"/>
                <w:szCs w:val="22"/>
              </w:rPr>
            </w:pPr>
          </w:p>
          <w:p w:rsidR="008B6662" w:rsidRPr="00A06C16" w:rsidRDefault="00A06C16" w:rsidP="002E5C4A">
            <w:pPr>
              <w:tabs>
                <w:tab w:val="left" w:pos="6787"/>
              </w:tabs>
              <w:autoSpaceDE w:val="0"/>
              <w:autoSpaceDN w:val="0"/>
              <w:adjustRightInd w:val="0"/>
              <w:jc w:val="right"/>
              <w:rPr>
                <w:rFonts w:asciiTheme="minorHAnsi" w:hAnsiTheme="minorHAnsi" w:cstheme="minorHAnsi"/>
                <w:b/>
                <w:sz w:val="22"/>
                <w:szCs w:val="22"/>
              </w:rPr>
            </w:pPr>
            <w:r>
              <w:rPr>
                <w:rFonts w:asciiTheme="minorHAnsi" w:hAnsiTheme="minorHAnsi" w:cstheme="minorHAnsi"/>
                <w:b/>
                <w:sz w:val="22"/>
                <w:szCs w:val="22"/>
              </w:rPr>
              <w:t>(OVER)</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lastRenderedPageBreak/>
              <w:t xml:space="preserve">May a school system inquire why the other parent is unable to care for the child? </w:t>
            </w:r>
          </w:p>
          <w:p w:rsidR="0033584F" w:rsidRPr="002337BE" w:rsidRDefault="0033584F" w:rsidP="005903E8">
            <w:pPr>
              <w:autoSpaceDE w:val="0"/>
              <w:autoSpaceDN w:val="0"/>
              <w:adjustRightInd w:val="0"/>
              <w:rPr>
                <w:rFonts w:asciiTheme="minorHAnsi" w:hAnsiTheme="minorHAnsi" w:cstheme="minorHAnsi"/>
                <w:b/>
                <w:i/>
                <w:sz w:val="28"/>
                <w:szCs w:val="28"/>
              </w:rPr>
            </w:pP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No. The law does not require both parents to be unavailable. Rather, it requires the child to be living with a relative who provides for the care and custody of that child due to a serious family hardship.</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How can both the caregiver and the parent make educational decisions?</w:t>
            </w:r>
          </w:p>
          <w:p w:rsidR="0033584F" w:rsidRPr="002337BE" w:rsidRDefault="0033584F" w:rsidP="005903E8">
            <w:pPr>
              <w:autoSpaceDE w:val="0"/>
              <w:autoSpaceDN w:val="0"/>
              <w:adjustRightInd w:val="0"/>
              <w:rPr>
                <w:rFonts w:asciiTheme="minorHAnsi" w:hAnsiTheme="minorHAnsi" w:cstheme="minorHAnsi"/>
                <w:b/>
                <w:i/>
                <w:sz w:val="28"/>
                <w:szCs w:val="28"/>
              </w:rPr>
            </w:pP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The relative providing informal kinship care is authorized to make the full range of educational decisions for the child.  The parent or legal guardian of the child, however, retains final decision-making authority regarding the child’s educational needs.  Each local jurisdiction should have a process for resolution in place in the event that a decision-making problem arises.</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What happens if a change occurs in the informal kinship care relationship?</w:t>
            </w:r>
          </w:p>
          <w:p w:rsidR="0033584F" w:rsidRPr="002337BE" w:rsidRDefault="0033584F" w:rsidP="005903E8">
            <w:pPr>
              <w:autoSpaceDE w:val="0"/>
              <w:autoSpaceDN w:val="0"/>
              <w:adjustRightInd w:val="0"/>
              <w:rPr>
                <w:rFonts w:asciiTheme="minorHAnsi" w:hAnsiTheme="minorHAnsi" w:cstheme="minorHAnsi"/>
                <w:b/>
                <w:i/>
                <w:sz w:val="28"/>
                <w:szCs w:val="28"/>
              </w:rPr>
            </w:pP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If there is a change in the serious family hardship of the child or in the informal kinship care arrangement, the relative providing the kinship care is required to notify the local school system in writing within 30 days of the change.</w:t>
            </w: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Is there a penalty for fraud?</w:t>
            </w: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Yes. The penalty for fraud is three times the cost of tuition for the time the child fraudulently attended a public school in the county and removal of the child from the public school.</w:t>
            </w:r>
          </w:p>
          <w:p w:rsidR="0033584F" w:rsidRPr="0033584F" w:rsidRDefault="0033584F" w:rsidP="005903E8">
            <w:pPr>
              <w:autoSpaceDE w:val="0"/>
              <w:autoSpaceDN w:val="0"/>
              <w:adjustRightInd w:val="0"/>
              <w:rPr>
                <w:rFonts w:asciiTheme="minorHAnsi" w:hAnsiTheme="minorHAnsi" w:cstheme="minorHAnsi"/>
                <w:sz w:val="22"/>
                <w:szCs w:val="22"/>
              </w:rPr>
            </w:pPr>
          </w:p>
        </w:tc>
      </w:tr>
      <w:tr w:rsidR="0033584F" w:rsidRPr="00D019D8" w:rsidTr="006F2AB4">
        <w:tc>
          <w:tcPr>
            <w:tcW w:w="2790" w:type="dxa"/>
          </w:tcPr>
          <w:p w:rsidR="0033584F" w:rsidRPr="002337BE" w:rsidRDefault="0033584F" w:rsidP="005903E8">
            <w:pPr>
              <w:autoSpaceDE w:val="0"/>
              <w:autoSpaceDN w:val="0"/>
              <w:adjustRightInd w:val="0"/>
              <w:rPr>
                <w:rFonts w:asciiTheme="minorHAnsi" w:hAnsiTheme="minorHAnsi" w:cstheme="minorHAnsi"/>
                <w:b/>
                <w:i/>
                <w:sz w:val="28"/>
                <w:szCs w:val="28"/>
              </w:rPr>
            </w:pPr>
            <w:r w:rsidRPr="002337BE">
              <w:rPr>
                <w:rFonts w:asciiTheme="minorHAnsi" w:hAnsiTheme="minorHAnsi" w:cstheme="minorHAnsi"/>
                <w:b/>
                <w:i/>
                <w:sz w:val="28"/>
                <w:szCs w:val="28"/>
              </w:rPr>
              <w:t>Where can I get additional information?</w:t>
            </w:r>
          </w:p>
        </w:tc>
        <w:tc>
          <w:tcPr>
            <w:tcW w:w="8640" w:type="dxa"/>
          </w:tcPr>
          <w:p w:rsidR="0033584F" w:rsidRPr="0033584F" w:rsidRDefault="0033584F" w:rsidP="005903E8">
            <w:pPr>
              <w:autoSpaceDE w:val="0"/>
              <w:autoSpaceDN w:val="0"/>
              <w:adjustRightInd w:val="0"/>
              <w:rPr>
                <w:rFonts w:asciiTheme="minorHAnsi" w:hAnsiTheme="minorHAnsi" w:cstheme="minorHAnsi"/>
                <w:sz w:val="22"/>
                <w:szCs w:val="22"/>
              </w:rPr>
            </w:pPr>
            <w:r w:rsidRPr="0033584F">
              <w:rPr>
                <w:rFonts w:asciiTheme="minorHAnsi" w:hAnsiTheme="minorHAnsi" w:cstheme="minorHAnsi"/>
                <w:sz w:val="22"/>
                <w:szCs w:val="22"/>
              </w:rPr>
              <w:t>Contact the Student Services and Strategic Planning Branch, Division of Student, Family, and School Support, Maryland State Department of Education at 410-767-0295.</w:t>
            </w:r>
          </w:p>
        </w:tc>
      </w:tr>
    </w:tbl>
    <w:p w:rsidR="007D22F2" w:rsidRDefault="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Pr="007D22F2" w:rsidRDefault="007D22F2" w:rsidP="007D22F2"/>
    <w:p w:rsidR="007D22F2" w:rsidRDefault="007D22F2" w:rsidP="007D22F2"/>
    <w:p w:rsidR="008B6662" w:rsidRDefault="008B6662" w:rsidP="007D22F2"/>
    <w:p w:rsidR="008B6662" w:rsidRDefault="008B6662" w:rsidP="007D22F2"/>
    <w:p w:rsidR="008B6662" w:rsidRDefault="008B6662" w:rsidP="007D22F2"/>
    <w:p w:rsidR="007D22F2" w:rsidRDefault="007D22F2" w:rsidP="007D22F2"/>
    <w:p w:rsidR="007D22F2" w:rsidRDefault="007D22F2" w:rsidP="007D22F2">
      <w:r>
        <w:t>__________________________________________________________________________________________</w:t>
      </w:r>
    </w:p>
    <w:p w:rsidR="00CA0059" w:rsidRPr="00B63E5B" w:rsidRDefault="007D22F2" w:rsidP="007D22F2">
      <w:pPr>
        <w:jc w:val="center"/>
        <w:rPr>
          <w:b/>
          <w:sz w:val="16"/>
          <w:szCs w:val="16"/>
        </w:rPr>
      </w:pPr>
      <w:r w:rsidRPr="00B63E5B">
        <w:rPr>
          <w:b/>
          <w:sz w:val="16"/>
          <w:szCs w:val="16"/>
        </w:rPr>
        <w:t>For more information, call 410.767.0100 (Baltimore area) or 1.888.246.0016 (toll free) or visit our website at</w:t>
      </w:r>
    </w:p>
    <w:p w:rsidR="007D22F2" w:rsidRPr="00B63E5B" w:rsidRDefault="007D22F2" w:rsidP="007D22F2">
      <w:pPr>
        <w:jc w:val="center"/>
        <w:rPr>
          <w:b/>
          <w:sz w:val="16"/>
          <w:szCs w:val="16"/>
        </w:rPr>
      </w:pPr>
      <w:r w:rsidRPr="00B63E5B">
        <w:rPr>
          <w:b/>
          <w:sz w:val="16"/>
          <w:szCs w:val="16"/>
        </w:rPr>
        <w:t>MarylandPublicSchools.org.</w:t>
      </w:r>
    </w:p>
    <w:sectPr w:rsidR="007D22F2" w:rsidRPr="00B63E5B" w:rsidSect="008B666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391" w:rsidRDefault="008B0391" w:rsidP="002E44D5">
      <w:r>
        <w:separator/>
      </w:r>
    </w:p>
  </w:endnote>
  <w:endnote w:type="continuationSeparator" w:id="0">
    <w:p w:rsidR="008B0391" w:rsidRDefault="008B0391" w:rsidP="002E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4D5" w:rsidRDefault="002E44D5">
    <w:pPr>
      <w:pStyle w:val="Footer"/>
    </w:pPr>
  </w:p>
  <w:p w:rsidR="002E44D5" w:rsidRDefault="002E44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391" w:rsidRDefault="008B0391" w:rsidP="002E44D5">
      <w:r>
        <w:separator/>
      </w:r>
    </w:p>
  </w:footnote>
  <w:footnote w:type="continuationSeparator" w:id="0">
    <w:p w:rsidR="008B0391" w:rsidRDefault="008B0391" w:rsidP="002E44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5B1"/>
    <w:rsid w:val="000E4745"/>
    <w:rsid w:val="000F6A94"/>
    <w:rsid w:val="002337BE"/>
    <w:rsid w:val="00260D1D"/>
    <w:rsid w:val="002A551D"/>
    <w:rsid w:val="002E44D5"/>
    <w:rsid w:val="002E5C4A"/>
    <w:rsid w:val="0030503F"/>
    <w:rsid w:val="0033584F"/>
    <w:rsid w:val="004A2997"/>
    <w:rsid w:val="004C6C74"/>
    <w:rsid w:val="005233CB"/>
    <w:rsid w:val="005E03DC"/>
    <w:rsid w:val="006057FC"/>
    <w:rsid w:val="006317B5"/>
    <w:rsid w:val="00641B1E"/>
    <w:rsid w:val="006F2AB4"/>
    <w:rsid w:val="00730393"/>
    <w:rsid w:val="00781500"/>
    <w:rsid w:val="0079073F"/>
    <w:rsid w:val="007A3A0D"/>
    <w:rsid w:val="007D22F2"/>
    <w:rsid w:val="00826B70"/>
    <w:rsid w:val="008A2989"/>
    <w:rsid w:val="008B0391"/>
    <w:rsid w:val="008B48E4"/>
    <w:rsid w:val="008B6662"/>
    <w:rsid w:val="00964335"/>
    <w:rsid w:val="009A674B"/>
    <w:rsid w:val="00A06C16"/>
    <w:rsid w:val="00A80246"/>
    <w:rsid w:val="00A91D15"/>
    <w:rsid w:val="00AD2A36"/>
    <w:rsid w:val="00B25CF7"/>
    <w:rsid w:val="00B37C8D"/>
    <w:rsid w:val="00B63E5B"/>
    <w:rsid w:val="00B87295"/>
    <w:rsid w:val="00C0000B"/>
    <w:rsid w:val="00C56A01"/>
    <w:rsid w:val="00CA0059"/>
    <w:rsid w:val="00CC2CFD"/>
    <w:rsid w:val="00D606F4"/>
    <w:rsid w:val="00DD65B1"/>
    <w:rsid w:val="00E07A60"/>
    <w:rsid w:val="00E320F6"/>
    <w:rsid w:val="00E4180F"/>
    <w:rsid w:val="00EE52F6"/>
    <w:rsid w:val="00F161C4"/>
    <w:rsid w:val="00F67DC6"/>
    <w:rsid w:val="00FF1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40EC8-DEB8-417A-9F14-96F10A66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0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65B1"/>
    <w:rPr>
      <w:rFonts w:ascii="Tahoma" w:hAnsi="Tahoma" w:cs="Tahoma"/>
      <w:sz w:val="16"/>
      <w:szCs w:val="16"/>
    </w:rPr>
  </w:style>
  <w:style w:type="character" w:customStyle="1" w:styleId="BalloonTextChar">
    <w:name w:val="Balloon Text Char"/>
    <w:basedOn w:val="DefaultParagraphFont"/>
    <w:link w:val="BalloonText"/>
    <w:uiPriority w:val="99"/>
    <w:semiHidden/>
    <w:rsid w:val="00DD65B1"/>
    <w:rPr>
      <w:rFonts w:ascii="Tahoma" w:hAnsi="Tahoma" w:cs="Tahoma"/>
      <w:sz w:val="16"/>
      <w:szCs w:val="16"/>
    </w:rPr>
  </w:style>
  <w:style w:type="paragraph" w:styleId="Header">
    <w:name w:val="header"/>
    <w:basedOn w:val="Normal"/>
    <w:link w:val="HeaderChar"/>
    <w:rsid w:val="00DD65B1"/>
    <w:pPr>
      <w:tabs>
        <w:tab w:val="center" w:pos="4320"/>
        <w:tab w:val="right" w:pos="8640"/>
      </w:tabs>
    </w:pPr>
    <w:rPr>
      <w:rFonts w:eastAsia="Times New Roman" w:cs="Times New Roman"/>
    </w:rPr>
  </w:style>
  <w:style w:type="character" w:customStyle="1" w:styleId="HeaderChar">
    <w:name w:val="Header Char"/>
    <w:basedOn w:val="DefaultParagraphFont"/>
    <w:link w:val="Header"/>
    <w:rsid w:val="00DD65B1"/>
    <w:rPr>
      <w:rFonts w:eastAsia="Times New Roman" w:cs="Times New Roman"/>
    </w:rPr>
  </w:style>
  <w:style w:type="paragraph" w:styleId="Footer">
    <w:name w:val="footer"/>
    <w:basedOn w:val="Normal"/>
    <w:link w:val="FooterChar"/>
    <w:uiPriority w:val="99"/>
    <w:unhideWhenUsed/>
    <w:rsid w:val="002E44D5"/>
    <w:pPr>
      <w:tabs>
        <w:tab w:val="center" w:pos="4680"/>
        <w:tab w:val="right" w:pos="9360"/>
      </w:tabs>
    </w:pPr>
  </w:style>
  <w:style w:type="character" w:customStyle="1" w:styleId="FooterChar">
    <w:name w:val="Footer Char"/>
    <w:basedOn w:val="DefaultParagraphFont"/>
    <w:link w:val="Footer"/>
    <w:uiPriority w:val="99"/>
    <w:rsid w:val="002E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26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rylandpublicschools.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jmcginnis</dc:creator>
  <cp:lastModifiedBy>Dara L. Montgomery</cp:lastModifiedBy>
  <cp:revision>2</cp:revision>
  <cp:lastPrinted>2015-08-07T14:26:00Z</cp:lastPrinted>
  <dcterms:created xsi:type="dcterms:W3CDTF">2021-08-10T13:04:00Z</dcterms:created>
  <dcterms:modified xsi:type="dcterms:W3CDTF">2021-08-10T13:04:00Z</dcterms:modified>
</cp:coreProperties>
</file>