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8873B3" w14:paraId="7B659169" w14:textId="77777777" w:rsidTr="008873B3">
        <w:trPr>
          <w:trHeight w:val="275"/>
        </w:trPr>
        <w:tc>
          <w:tcPr>
            <w:tcW w:w="9350" w:type="dxa"/>
            <w:gridSpan w:val="2"/>
            <w:shd w:val="clear" w:color="auto" w:fill="1F3864" w:themeFill="accent1" w:themeFillShade="80"/>
            <w:vAlign w:val="center"/>
          </w:tcPr>
          <w:p w14:paraId="0BDB695B" w14:textId="2A686A3A" w:rsidR="008873B3" w:rsidRPr="00EA5966" w:rsidRDefault="00EA5966" w:rsidP="00EA5966">
            <w:pPr>
              <w:jc w:val="center"/>
              <w:rPr>
                <w:b/>
                <w:bCs/>
                <w:color w:val="FFFFFF" w:themeColor="background1"/>
              </w:rPr>
            </w:pPr>
            <w:r w:rsidRPr="00EA5966">
              <w:rPr>
                <w:b/>
                <w:bCs/>
                <w:color w:val="FFFFFF" w:themeColor="background1"/>
              </w:rPr>
              <w:t>General Information</w:t>
            </w:r>
          </w:p>
        </w:tc>
      </w:tr>
      <w:tr w:rsidR="008873B3" w14:paraId="15F47DA2" w14:textId="77777777" w:rsidTr="00025FD7">
        <w:trPr>
          <w:trHeight w:val="275"/>
        </w:trPr>
        <w:tc>
          <w:tcPr>
            <w:tcW w:w="3055" w:type="dxa"/>
            <w:vAlign w:val="center"/>
          </w:tcPr>
          <w:p w14:paraId="3C2875C9" w14:textId="059BB833" w:rsidR="008873B3" w:rsidRDefault="008873B3" w:rsidP="008873B3">
            <w:permStart w:id="1704684873" w:edGrp="everyone" w:colFirst="1" w:colLast="1"/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ORGANIZATION NAME:  </w:t>
            </w:r>
            <w:r w:rsidRPr="004C5F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6295" w:type="dxa"/>
          </w:tcPr>
          <w:p w14:paraId="100B20C2" w14:textId="08FFD4B6" w:rsidR="008873B3" w:rsidRDefault="00741A15" w:rsidP="008873B3">
            <w:r>
              <w:t>Granville County Public Schools</w:t>
            </w:r>
          </w:p>
        </w:tc>
      </w:tr>
      <w:tr w:rsidR="008873B3" w14:paraId="4D2DB5B9" w14:textId="77777777" w:rsidTr="00025FD7">
        <w:trPr>
          <w:trHeight w:val="275"/>
        </w:trPr>
        <w:tc>
          <w:tcPr>
            <w:tcW w:w="3055" w:type="dxa"/>
            <w:vAlign w:val="center"/>
          </w:tcPr>
          <w:p w14:paraId="1FD02212" w14:textId="41F634B9" w:rsidR="008873B3" w:rsidRDefault="008873B3" w:rsidP="008873B3">
            <w:permStart w:id="342450586" w:edGrp="everyone" w:colFirst="1" w:colLast="1"/>
            <w:permEnd w:id="1704684873"/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ORGANIZATION CODE:</w:t>
            </w:r>
          </w:p>
        </w:tc>
        <w:tc>
          <w:tcPr>
            <w:tcW w:w="6295" w:type="dxa"/>
          </w:tcPr>
          <w:p w14:paraId="3E5B3C86" w14:textId="59B6A4B7" w:rsidR="008873B3" w:rsidRDefault="00741A15" w:rsidP="008873B3">
            <w:r>
              <w:t>390</w:t>
            </w:r>
          </w:p>
        </w:tc>
      </w:tr>
      <w:tr w:rsidR="008873B3" w14:paraId="6210B74C" w14:textId="77777777" w:rsidTr="00025FD7">
        <w:trPr>
          <w:trHeight w:val="275"/>
        </w:trPr>
        <w:tc>
          <w:tcPr>
            <w:tcW w:w="3055" w:type="dxa"/>
            <w:vAlign w:val="center"/>
          </w:tcPr>
          <w:p w14:paraId="1FDD83F5" w14:textId="1D517FE4" w:rsidR="008873B3" w:rsidRDefault="008873B3" w:rsidP="008873B3">
            <w:permStart w:id="754598116" w:edGrp="everyone" w:colFirst="1" w:colLast="1"/>
            <w:permEnd w:id="342450586"/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SCHOOL YEAR:</w:t>
            </w:r>
          </w:p>
        </w:tc>
        <w:tc>
          <w:tcPr>
            <w:tcW w:w="6295" w:type="dxa"/>
          </w:tcPr>
          <w:p w14:paraId="6DA15A43" w14:textId="6FE1EF89" w:rsidR="008873B3" w:rsidRDefault="00741A15" w:rsidP="008873B3">
            <w:r>
              <w:t>2021-2022</w:t>
            </w:r>
          </w:p>
        </w:tc>
      </w:tr>
      <w:permEnd w:id="754598116"/>
      <w:tr w:rsidR="008873B3" w14:paraId="38E86DE2" w14:textId="77777777" w:rsidTr="008873B3">
        <w:trPr>
          <w:trHeight w:val="1187"/>
        </w:trPr>
        <w:tc>
          <w:tcPr>
            <w:tcW w:w="9350" w:type="dxa"/>
            <w:gridSpan w:val="2"/>
            <w:shd w:val="clear" w:color="auto" w:fill="D9E2F3" w:themeFill="accent1" w:themeFillTint="33"/>
            <w:vAlign w:val="center"/>
          </w:tcPr>
          <w:p w14:paraId="49901E55" w14:textId="1BA1A087" w:rsidR="008873B3" w:rsidRDefault="008873B3" w:rsidP="008873B3">
            <w:r w:rsidRPr="004C5FB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Federal ESSA regulations under Title I, Part A Section 1112(b)(2) requires that all local educational agencies (LEAs) that receive Title I-A  funds develop a plan for how the LEA will identify and address any disparities that result in low-income students and minority students being taught at higher rates than other students by ineffective, inexperienced, or out-of-field teachers.  This section of ESSA requires that all LEAs that receive Title I-A funds create and submit plans describing how the LEA will improve gaps that exist from data required in this section.  To this end, LEAs are expected to have a plan to ensure the equitable distribution of teachers.  </w:t>
            </w:r>
          </w:p>
        </w:tc>
      </w:tr>
      <w:tr w:rsidR="008873B3" w14:paraId="03446AFF" w14:textId="77777777" w:rsidTr="008873B3">
        <w:trPr>
          <w:trHeight w:val="557"/>
        </w:trPr>
        <w:tc>
          <w:tcPr>
            <w:tcW w:w="9350" w:type="dxa"/>
            <w:gridSpan w:val="2"/>
            <w:shd w:val="clear" w:color="auto" w:fill="D9E2F3" w:themeFill="accent1" w:themeFillTint="33"/>
            <w:vAlign w:val="center"/>
          </w:tcPr>
          <w:p w14:paraId="47CC4A1F" w14:textId="343B9513" w:rsidR="008873B3" w:rsidRDefault="008873B3" w:rsidP="008873B3"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A.  For each area,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based on the information in the data component of the Equity Plan, </w:t>
            </w:r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answer the following questions to demonstrate how the LEA will review, evaluate, and provide strategies to eliminate any inequities that exist.</w:t>
            </w:r>
          </w:p>
        </w:tc>
      </w:tr>
      <w:tr w:rsidR="008873B3" w14:paraId="32E995DC" w14:textId="77777777" w:rsidTr="008873B3">
        <w:trPr>
          <w:trHeight w:val="323"/>
        </w:trPr>
        <w:tc>
          <w:tcPr>
            <w:tcW w:w="9350" w:type="dxa"/>
            <w:gridSpan w:val="2"/>
            <w:shd w:val="clear" w:color="auto" w:fill="1F3864" w:themeFill="accent1" w:themeFillShade="80"/>
            <w:vAlign w:val="center"/>
          </w:tcPr>
          <w:p w14:paraId="72C9630B" w14:textId="36552D80" w:rsidR="008873B3" w:rsidRDefault="008873B3" w:rsidP="008873B3">
            <w:pPr>
              <w:jc w:val="center"/>
            </w:pPr>
            <w:r w:rsidRPr="004C5FBB">
              <w:rPr>
                <w:rFonts w:ascii="Calibri" w:eastAsia="Times New Roman" w:hAnsi="Calibri" w:cs="Calibri"/>
                <w:b/>
                <w:bCs/>
                <w:color w:val="FFFFFF"/>
              </w:rPr>
              <w:t>Teacher Certification</w:t>
            </w:r>
          </w:p>
        </w:tc>
      </w:tr>
      <w:tr w:rsidR="008873B3" w14:paraId="5CDA8FED" w14:textId="77777777" w:rsidTr="00DD569B">
        <w:trPr>
          <w:trHeight w:val="260"/>
        </w:trPr>
        <w:tc>
          <w:tcPr>
            <w:tcW w:w="9350" w:type="dxa"/>
            <w:gridSpan w:val="2"/>
            <w:shd w:val="clear" w:color="auto" w:fill="D9E2F3" w:themeFill="accent1" w:themeFillTint="33"/>
            <w:vAlign w:val="center"/>
          </w:tcPr>
          <w:p w14:paraId="4626E2E0" w14:textId="7C90C18D" w:rsidR="008873B3" w:rsidRPr="00DD569B" w:rsidRDefault="008873B3" w:rsidP="00DD569B">
            <w:pPr>
              <w:rPr>
                <w:sz w:val="18"/>
                <w:szCs w:val="18"/>
              </w:rPr>
            </w:pPr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Describe any inequities that exist between schools.</w:t>
            </w:r>
          </w:p>
        </w:tc>
      </w:tr>
      <w:tr w:rsidR="008873B3" w14:paraId="51032D88" w14:textId="77777777" w:rsidTr="00EA5966">
        <w:trPr>
          <w:trHeight w:val="1250"/>
        </w:trPr>
        <w:tc>
          <w:tcPr>
            <w:tcW w:w="9350" w:type="dxa"/>
            <w:gridSpan w:val="2"/>
          </w:tcPr>
          <w:p w14:paraId="32570FBA" w14:textId="0F334568" w:rsidR="008873B3" w:rsidRPr="004C5FBB" w:rsidRDefault="00741A15" w:rsidP="008873B3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ermStart w:id="948649618" w:edGrp="everyone" w:colFirst="0" w:colLast="0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There are no out-of-field teachers in the district. </w:t>
            </w:r>
          </w:p>
        </w:tc>
      </w:tr>
      <w:permEnd w:id="948649618"/>
      <w:tr w:rsidR="00DD569B" w14:paraId="1DF2D4B2" w14:textId="77777777" w:rsidTr="00DD569B">
        <w:trPr>
          <w:trHeight w:val="350"/>
        </w:trPr>
        <w:tc>
          <w:tcPr>
            <w:tcW w:w="9350" w:type="dxa"/>
            <w:gridSpan w:val="2"/>
            <w:shd w:val="clear" w:color="auto" w:fill="D9E2F3" w:themeFill="accent1" w:themeFillTint="33"/>
            <w:vAlign w:val="center"/>
          </w:tcPr>
          <w:p w14:paraId="6E9324AC" w14:textId="641F5923" w:rsidR="00DD569B" w:rsidRPr="00DD569B" w:rsidRDefault="00DD569B" w:rsidP="00DD569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Describe the strategies the LEA will use to eliminate any inequities, should any exist now or in the future.</w:t>
            </w:r>
          </w:p>
        </w:tc>
      </w:tr>
      <w:tr w:rsidR="00DD569B" w14:paraId="5C6CED40" w14:textId="77777777" w:rsidTr="00EA5966">
        <w:trPr>
          <w:trHeight w:val="1070"/>
        </w:trPr>
        <w:tc>
          <w:tcPr>
            <w:tcW w:w="9350" w:type="dxa"/>
            <w:gridSpan w:val="2"/>
          </w:tcPr>
          <w:p w14:paraId="4BB7921B" w14:textId="0424CD4A" w:rsidR="00DD569B" w:rsidRPr="004C5FBB" w:rsidRDefault="00741A15" w:rsidP="00DD569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ermStart w:id="814940547" w:edGrp="everyone" w:colFirst="0" w:colLast="0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None</w:t>
            </w:r>
          </w:p>
        </w:tc>
      </w:tr>
      <w:permEnd w:id="814940547"/>
      <w:tr w:rsidR="00DD569B" w14:paraId="23CF935B" w14:textId="77777777" w:rsidTr="00DD569B">
        <w:trPr>
          <w:trHeight w:val="350"/>
        </w:trPr>
        <w:tc>
          <w:tcPr>
            <w:tcW w:w="9350" w:type="dxa"/>
            <w:gridSpan w:val="2"/>
            <w:shd w:val="clear" w:color="auto" w:fill="D9E2F3" w:themeFill="accent1" w:themeFillTint="33"/>
            <w:vAlign w:val="center"/>
          </w:tcPr>
          <w:p w14:paraId="165707B6" w14:textId="1FED2CD4" w:rsidR="00DD569B" w:rsidRPr="00DD569B" w:rsidRDefault="00DD569B" w:rsidP="00DD569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Describe how the LEA will annually, at </w:t>
            </w:r>
            <w:r w:rsidRPr="00DD56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minimum, evaluate</w:t>
            </w:r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certification data and strategies listed above.</w:t>
            </w:r>
          </w:p>
        </w:tc>
      </w:tr>
      <w:tr w:rsidR="00DD569B" w14:paraId="1BD34AAB" w14:textId="77777777" w:rsidTr="00EA5966">
        <w:trPr>
          <w:trHeight w:val="1070"/>
        </w:trPr>
        <w:tc>
          <w:tcPr>
            <w:tcW w:w="9350" w:type="dxa"/>
            <w:gridSpan w:val="2"/>
          </w:tcPr>
          <w:p w14:paraId="6A3F5CAD" w14:textId="20ACE85D" w:rsidR="00DD569B" w:rsidRPr="004C5FBB" w:rsidRDefault="00741A15" w:rsidP="00DD569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ermStart w:id="1971024332" w:edGrp="everyone" w:colFirst="0" w:colLast="0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None</w:t>
            </w:r>
          </w:p>
        </w:tc>
      </w:tr>
      <w:permEnd w:id="1971024332"/>
      <w:tr w:rsidR="00DD569B" w14:paraId="075AF9ED" w14:textId="77777777" w:rsidTr="00DD569B">
        <w:tc>
          <w:tcPr>
            <w:tcW w:w="9350" w:type="dxa"/>
            <w:gridSpan w:val="2"/>
            <w:shd w:val="clear" w:color="auto" w:fill="1F3864" w:themeFill="accent1" w:themeFillShade="80"/>
            <w:vAlign w:val="center"/>
          </w:tcPr>
          <w:p w14:paraId="3467A613" w14:textId="35B3ADF8" w:rsidR="00DD569B" w:rsidRPr="004C5FBB" w:rsidRDefault="00DD569B" w:rsidP="00DD56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C5FBB">
              <w:rPr>
                <w:rFonts w:ascii="Calibri" w:eastAsia="Times New Roman" w:hAnsi="Calibri" w:cs="Calibri"/>
                <w:b/>
                <w:bCs/>
                <w:color w:val="FFFFFF"/>
              </w:rPr>
              <w:t>Teacher Experience</w:t>
            </w:r>
          </w:p>
        </w:tc>
      </w:tr>
      <w:tr w:rsidR="00DD569B" w14:paraId="6C022CDB" w14:textId="77777777" w:rsidTr="00DD569B">
        <w:trPr>
          <w:trHeight w:val="350"/>
        </w:trPr>
        <w:tc>
          <w:tcPr>
            <w:tcW w:w="9350" w:type="dxa"/>
            <w:gridSpan w:val="2"/>
            <w:shd w:val="clear" w:color="auto" w:fill="D9E2F3" w:themeFill="accent1" w:themeFillTint="33"/>
            <w:vAlign w:val="center"/>
          </w:tcPr>
          <w:p w14:paraId="5C8EC400" w14:textId="32748D60" w:rsidR="00DD569B" w:rsidRPr="004C5FBB" w:rsidRDefault="00DD569B" w:rsidP="00DD569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Describe any inequities that exist between schools.</w:t>
            </w:r>
          </w:p>
        </w:tc>
      </w:tr>
      <w:tr w:rsidR="00DD569B" w14:paraId="5EA62CBE" w14:textId="77777777" w:rsidTr="00DD569B">
        <w:trPr>
          <w:trHeight w:val="1070"/>
        </w:trPr>
        <w:tc>
          <w:tcPr>
            <w:tcW w:w="9350" w:type="dxa"/>
            <w:gridSpan w:val="2"/>
          </w:tcPr>
          <w:p w14:paraId="03F1646C" w14:textId="347B5200" w:rsidR="00DD569B" w:rsidRPr="004C5FBB" w:rsidRDefault="00741A15" w:rsidP="00DD569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ermStart w:id="777408488" w:edGrp="everyone" w:colFirst="0" w:colLast="0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District-wide, 31.6% of teachers have 0-3 years of experience. Of the 11 high-poverty schools, 8 have more than 15% of teachers with 0-3 years of experience. Overall, 10 of the 17 district schools have more than 15% of teachers with 0-3 years of experience. Forty-six percent of the district’s beginning teachers are serving in the schools with the highest needs. </w:t>
            </w:r>
          </w:p>
        </w:tc>
      </w:tr>
      <w:permEnd w:id="777408488"/>
      <w:tr w:rsidR="00DD569B" w14:paraId="7386D22F" w14:textId="77777777" w:rsidTr="00DD569B">
        <w:trPr>
          <w:trHeight w:val="323"/>
        </w:trPr>
        <w:tc>
          <w:tcPr>
            <w:tcW w:w="9350" w:type="dxa"/>
            <w:gridSpan w:val="2"/>
            <w:shd w:val="clear" w:color="auto" w:fill="D9E2F3" w:themeFill="accent1" w:themeFillTint="33"/>
            <w:vAlign w:val="center"/>
          </w:tcPr>
          <w:p w14:paraId="71EEDC50" w14:textId="3C605AF7" w:rsidR="00DD569B" w:rsidRPr="004C5FBB" w:rsidRDefault="00DD569B" w:rsidP="00DD569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Describe the strategies the LEA will use to eliminate any inequities, should any exist now or in the future.</w:t>
            </w:r>
          </w:p>
        </w:tc>
      </w:tr>
      <w:tr w:rsidR="00DD569B" w14:paraId="6791B53C" w14:textId="77777777" w:rsidTr="00EA5966">
        <w:trPr>
          <w:trHeight w:val="1268"/>
        </w:trPr>
        <w:tc>
          <w:tcPr>
            <w:tcW w:w="9350" w:type="dxa"/>
            <w:gridSpan w:val="2"/>
          </w:tcPr>
          <w:p w14:paraId="2700EB3E" w14:textId="77777777" w:rsidR="00DD569B" w:rsidRDefault="00741A15" w:rsidP="00DD569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ermStart w:id="448992671" w:edGrp="everyone" w:colFirst="0" w:colLast="0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We will implement the following strategies to eliminate any inequities:</w:t>
            </w:r>
          </w:p>
          <w:p w14:paraId="22DD5F32" w14:textId="77777777" w:rsidR="00741A15" w:rsidRDefault="00741A15" w:rsidP="00741A1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Implement a robust Beginning Teacher Support Program to nurture and support beginning teachers’ professional development and emotional well-being. </w:t>
            </w:r>
          </w:p>
          <w:p w14:paraId="73AC9D63" w14:textId="129AE07E" w:rsidR="00741A15" w:rsidRDefault="00741A15" w:rsidP="00741A1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Implement a Teacher Mentoring Program to facilitate veteran teacher coaching and support of beginning teachers. </w:t>
            </w:r>
          </w:p>
          <w:p w14:paraId="1C91B678" w14:textId="6883F5E4" w:rsidR="00741A15" w:rsidRPr="00741A15" w:rsidRDefault="00741A15" w:rsidP="00741A1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Implement job-embedded classroom coaching through a district-wide walkthrough and feedback process. </w:t>
            </w:r>
          </w:p>
          <w:p w14:paraId="7A3BFFE8" w14:textId="77777777" w:rsidR="00741A15" w:rsidRDefault="00741A15" w:rsidP="00741A1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Offer personalized, informative, and job-embedded professional development opportunities for beginning teachers.</w:t>
            </w:r>
          </w:p>
          <w:p w14:paraId="560060E3" w14:textId="16E1E6AE" w:rsidR="00741A15" w:rsidRPr="00741A15" w:rsidRDefault="00741A15" w:rsidP="00741A15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Provide financial incentives for retention of staff such as a Tuition Reimbursement Program, National Board Reimbursement Program, one-time Hiring Bonus with additional funds for hard to staff areas, and one-time Retention Bonus for staff. </w:t>
            </w:r>
          </w:p>
        </w:tc>
      </w:tr>
      <w:permEnd w:id="448992671"/>
      <w:tr w:rsidR="00DD569B" w14:paraId="2BEAFA97" w14:textId="77777777" w:rsidTr="00DD569B">
        <w:trPr>
          <w:trHeight w:val="350"/>
        </w:trPr>
        <w:tc>
          <w:tcPr>
            <w:tcW w:w="9350" w:type="dxa"/>
            <w:gridSpan w:val="2"/>
            <w:shd w:val="clear" w:color="auto" w:fill="D9E2F3" w:themeFill="accent1" w:themeFillTint="33"/>
            <w:vAlign w:val="center"/>
          </w:tcPr>
          <w:p w14:paraId="23AC8159" w14:textId="32BE147B" w:rsidR="00DD569B" w:rsidRPr="004C5FBB" w:rsidRDefault="00DD569B" w:rsidP="00DD569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Describe how the LEA will annually, at </w:t>
            </w:r>
            <w:r w:rsidRPr="00DD56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minimum, evaluate</w:t>
            </w:r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07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experience</w:t>
            </w:r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data and strategies listed above.</w:t>
            </w:r>
          </w:p>
        </w:tc>
      </w:tr>
      <w:tr w:rsidR="00DD569B" w14:paraId="0D652B40" w14:textId="77777777" w:rsidTr="00DD569B">
        <w:trPr>
          <w:trHeight w:val="1385"/>
        </w:trPr>
        <w:tc>
          <w:tcPr>
            <w:tcW w:w="9350" w:type="dxa"/>
            <w:gridSpan w:val="2"/>
          </w:tcPr>
          <w:p w14:paraId="0DEF5DFB" w14:textId="4592C501" w:rsidR="00DD569B" w:rsidRDefault="00741A15" w:rsidP="00DD569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ermStart w:id="2069593619" w:edGrp="everyone" w:colFirst="0" w:colLast="0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We will implement the following to annually evaluate teacher experience data:</w:t>
            </w:r>
          </w:p>
          <w:p w14:paraId="5B5AE700" w14:textId="77777777" w:rsidR="00741A15" w:rsidRDefault="00741A15" w:rsidP="00741A15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Review NCEES data to determine the effectiveness of beginning teachers.</w:t>
            </w:r>
          </w:p>
          <w:p w14:paraId="7927DBDC" w14:textId="77777777" w:rsidR="00741A15" w:rsidRDefault="00741A15" w:rsidP="00741A15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Evaluate data from the Beginning Teacher Support Program to analyze its effectiveness.</w:t>
            </w:r>
          </w:p>
          <w:p w14:paraId="0A8E3A52" w14:textId="77777777" w:rsidR="00741A15" w:rsidRDefault="00741A15" w:rsidP="00741A15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Review NCEES data to determine the effectiveness of the Teacher Mentoring Program.</w:t>
            </w:r>
          </w:p>
          <w:p w14:paraId="50459CA7" w14:textId="77777777" w:rsidR="00741A15" w:rsidRDefault="00741A15" w:rsidP="00741A15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Analyze professional development data to ensure the offerings adequately meet the needs of beginning teachers.</w:t>
            </w:r>
          </w:p>
          <w:p w14:paraId="35B8CB8A" w14:textId="51E99033" w:rsidR="00741A15" w:rsidRPr="00741A15" w:rsidRDefault="00741A15" w:rsidP="00741A15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Compare areas that need improvement for Beginning Teachers to measure </w:t>
            </w:r>
            <w:r w:rsidR="006E376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annual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progress. </w:t>
            </w:r>
          </w:p>
        </w:tc>
      </w:tr>
      <w:permEnd w:id="2069593619"/>
      <w:tr w:rsidR="00DD569B" w14:paraId="1F893B84" w14:textId="77777777" w:rsidTr="00DD569B">
        <w:tc>
          <w:tcPr>
            <w:tcW w:w="9350" w:type="dxa"/>
            <w:gridSpan w:val="2"/>
            <w:shd w:val="clear" w:color="auto" w:fill="1F3864" w:themeFill="accent1" w:themeFillShade="80"/>
            <w:vAlign w:val="center"/>
          </w:tcPr>
          <w:p w14:paraId="0EC10FD6" w14:textId="7B31DB25" w:rsidR="00DD569B" w:rsidRPr="004C5FBB" w:rsidRDefault="00DD569B" w:rsidP="00DD56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C5FBB">
              <w:rPr>
                <w:rFonts w:ascii="Calibri" w:eastAsia="Times New Roman" w:hAnsi="Calibri" w:cs="Calibri"/>
                <w:b/>
                <w:bCs/>
                <w:color w:val="FFFFFF"/>
              </w:rPr>
              <w:t>Teacher Effectiveness</w:t>
            </w:r>
          </w:p>
        </w:tc>
      </w:tr>
      <w:tr w:rsidR="00DD569B" w14:paraId="55776F8A" w14:textId="77777777" w:rsidTr="00EA5966">
        <w:tc>
          <w:tcPr>
            <w:tcW w:w="9350" w:type="dxa"/>
            <w:gridSpan w:val="2"/>
            <w:shd w:val="clear" w:color="auto" w:fill="D9E2F3" w:themeFill="accent1" w:themeFillTint="33"/>
            <w:vAlign w:val="center"/>
          </w:tcPr>
          <w:p w14:paraId="3E6C2294" w14:textId="3F328BCC" w:rsidR="00DD569B" w:rsidRPr="004C5FBB" w:rsidRDefault="00DD569B" w:rsidP="00DD569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Describe any inequities that exist between schools.</w:t>
            </w:r>
          </w:p>
        </w:tc>
      </w:tr>
      <w:tr w:rsidR="00DD569B" w14:paraId="303EFFAD" w14:textId="77777777" w:rsidTr="002159E5">
        <w:trPr>
          <w:trHeight w:val="827"/>
        </w:trPr>
        <w:tc>
          <w:tcPr>
            <w:tcW w:w="9350" w:type="dxa"/>
            <w:gridSpan w:val="2"/>
            <w:shd w:val="clear" w:color="auto" w:fill="auto"/>
          </w:tcPr>
          <w:p w14:paraId="4FDEC52C" w14:textId="78879396" w:rsidR="00DD569B" w:rsidRPr="006E3767" w:rsidRDefault="006E3767" w:rsidP="002159E5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permStart w:id="966421398" w:edGrp="everyone" w:colFirst="0" w:colLast="0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Of the 17 district schools, 1 did not have Educator Effectiveness Growth data, 4 exceeded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growth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, and 10 did not meet growth based on 2019 school-year data. Seven of the schools that did not meet growth are the highest needs schools in the district. District-wide, </w:t>
            </w:r>
            <w:r w:rsidR="00E7706A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almost 14%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of teachers did not meet growth based on the Student Growth Measure data for 2019 in EVAAS. Of the 8 schools who had </w:t>
            </w:r>
            <w:r w:rsidR="00E7706A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the highest percentage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of teacher</w:t>
            </w:r>
            <w:r w:rsidR="00E7706A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not meet growth based on this data, 4 are consistently high needs schools.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The majority of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schools have at least 1 ineffective teacher based on this data. </w:t>
            </w:r>
          </w:p>
        </w:tc>
      </w:tr>
      <w:permEnd w:id="966421398"/>
      <w:tr w:rsidR="00DD569B" w14:paraId="2F00F948" w14:textId="77777777" w:rsidTr="00EA5966">
        <w:tc>
          <w:tcPr>
            <w:tcW w:w="9350" w:type="dxa"/>
            <w:gridSpan w:val="2"/>
            <w:shd w:val="clear" w:color="auto" w:fill="D9E2F3" w:themeFill="accent1" w:themeFillTint="33"/>
            <w:vAlign w:val="center"/>
          </w:tcPr>
          <w:p w14:paraId="5F432C22" w14:textId="1129E9C1" w:rsidR="00DD569B" w:rsidRPr="004C5FBB" w:rsidRDefault="00DD569B" w:rsidP="00DD569B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Describe the strategies the LEA will use to eliminate any inequities, should any exist now or in the future.</w:t>
            </w:r>
          </w:p>
        </w:tc>
      </w:tr>
      <w:tr w:rsidR="00DD569B" w14:paraId="4110A71A" w14:textId="77777777" w:rsidTr="002159E5">
        <w:trPr>
          <w:trHeight w:val="845"/>
        </w:trPr>
        <w:tc>
          <w:tcPr>
            <w:tcW w:w="9350" w:type="dxa"/>
            <w:gridSpan w:val="2"/>
            <w:shd w:val="clear" w:color="auto" w:fill="auto"/>
          </w:tcPr>
          <w:p w14:paraId="6E3270D1" w14:textId="77777777" w:rsidR="00DD569B" w:rsidRDefault="006E3767" w:rsidP="002159E5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ermStart w:id="2040149191" w:edGrp="everyone" w:colFirst="0" w:colLast="0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We will implement the following strategies to eliminate any inequities:</w:t>
            </w:r>
          </w:p>
          <w:p w14:paraId="48D77BFA" w14:textId="77777777" w:rsidR="006E3767" w:rsidRPr="00741A15" w:rsidRDefault="006E3767" w:rsidP="006E3767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Implement job-embedded classroom coaching through a district-wide walkthrough and feedback process. </w:t>
            </w:r>
          </w:p>
          <w:p w14:paraId="0DBC056F" w14:textId="45313CAE" w:rsidR="006E3767" w:rsidRDefault="006E3767" w:rsidP="006E3767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Offer personalized, informative, and job-embedded professional development opportunities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aligned to school and district strategic goals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  <w:p w14:paraId="27829128" w14:textId="132E6938" w:rsidR="006E3767" w:rsidRDefault="006E3767" w:rsidP="006E3767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Identify areas of needed improvement for ineffective teachers, and 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ffer personalized, informative, and job-embedded professional development opportunities for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those teachers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  <w:p w14:paraId="63E79D4F" w14:textId="77777777" w:rsidR="006E3767" w:rsidRDefault="006E3767" w:rsidP="006E3767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Provide principals with training on effectively coaching teachers.</w:t>
            </w:r>
          </w:p>
          <w:p w14:paraId="6819CE6A" w14:textId="7943BCCD" w:rsidR="006E3767" w:rsidRPr="006E3767" w:rsidRDefault="006E3767" w:rsidP="006E3767">
            <w:pPr>
              <w:pStyle w:val="ListParagrap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2040149191"/>
      <w:tr w:rsidR="00DD569B" w14:paraId="6AC36781" w14:textId="77777777" w:rsidTr="00EA5966">
        <w:tc>
          <w:tcPr>
            <w:tcW w:w="9350" w:type="dxa"/>
            <w:gridSpan w:val="2"/>
            <w:shd w:val="clear" w:color="auto" w:fill="D9E2F3" w:themeFill="accent1" w:themeFillTint="33"/>
            <w:vAlign w:val="center"/>
          </w:tcPr>
          <w:p w14:paraId="677ABD77" w14:textId="5685A545" w:rsidR="00DD569B" w:rsidRPr="004C5FBB" w:rsidRDefault="00DD569B" w:rsidP="00DD569B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Describe how the LEA will annually, at </w:t>
            </w:r>
            <w:r w:rsidRPr="00DD56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minimum, evaluate</w:t>
            </w:r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27BD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effectiveness</w:t>
            </w:r>
            <w:r w:rsidRPr="004C5F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data and strategies listed above.</w:t>
            </w:r>
          </w:p>
        </w:tc>
      </w:tr>
      <w:tr w:rsidR="00EA5966" w14:paraId="4823D166" w14:textId="77777777" w:rsidTr="002159E5">
        <w:trPr>
          <w:trHeight w:val="1205"/>
        </w:trPr>
        <w:tc>
          <w:tcPr>
            <w:tcW w:w="9350" w:type="dxa"/>
            <w:gridSpan w:val="2"/>
            <w:shd w:val="clear" w:color="auto" w:fill="auto"/>
          </w:tcPr>
          <w:p w14:paraId="368C0047" w14:textId="711E485D" w:rsidR="006E3767" w:rsidRDefault="006E3767" w:rsidP="006E376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permStart w:id="1099643692" w:edGrp="everyone" w:colFirst="0" w:colLast="0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We will implement the following to annually evaluate teacher 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ffectiveness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data:</w:t>
            </w:r>
          </w:p>
          <w:p w14:paraId="06A04C92" w14:textId="2DD5E129" w:rsidR="006E3767" w:rsidRPr="006E3767" w:rsidRDefault="006E3767" w:rsidP="006E3767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E376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Review NCEES data to determine 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eacher </w:t>
            </w:r>
            <w:r w:rsidRPr="006E376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effectiveness.</w:t>
            </w:r>
          </w:p>
          <w:p w14:paraId="5B8E47DF" w14:textId="5E8A70E2" w:rsidR="006E3767" w:rsidRDefault="006E3767" w:rsidP="006E376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Review NCEES data to determine the effectiveness of 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district-wide walkthrough and feedback process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  <w:p w14:paraId="00196998" w14:textId="65F2DBC3" w:rsidR="006E3767" w:rsidRDefault="006E3767" w:rsidP="006E376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Compare NCEES and EVAAS data to analyze the effectiveness of principal coaching. </w:t>
            </w:r>
          </w:p>
          <w:p w14:paraId="1CCE373D" w14:textId="4FF9C21F" w:rsidR="006E3767" w:rsidRDefault="006E3767" w:rsidP="006E376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Analyze professional development data to ensure the offerings adequately meet the needs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all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teachers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with special emphasis on ineffective teachers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  <w:p w14:paraId="61139ABB" w14:textId="539E4480" w:rsidR="00EA5966" w:rsidRPr="006E3767" w:rsidRDefault="006E3767" w:rsidP="006E376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E376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Compare areas that need improvement for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ineffective teachers</w:t>
            </w:r>
            <w:r w:rsidRPr="006E376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to measure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annual </w:t>
            </w:r>
            <w:r w:rsidRPr="006E376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progress.</w:t>
            </w:r>
          </w:p>
        </w:tc>
      </w:tr>
      <w:permEnd w:id="1099643692"/>
    </w:tbl>
    <w:p w14:paraId="0BD9081D" w14:textId="77777777" w:rsidR="00907233" w:rsidRDefault="00907233"/>
    <w:sectPr w:rsidR="00907233" w:rsidSect="00EA5966">
      <w:headerReference w:type="default" r:id="rId10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293E" w14:textId="77777777" w:rsidR="00CC356D" w:rsidRDefault="00CC356D" w:rsidP="00EA5966">
      <w:pPr>
        <w:spacing w:after="0" w:line="240" w:lineRule="auto"/>
      </w:pPr>
      <w:r>
        <w:separator/>
      </w:r>
    </w:p>
  </w:endnote>
  <w:endnote w:type="continuationSeparator" w:id="0">
    <w:p w14:paraId="4D2A7D9B" w14:textId="77777777" w:rsidR="00CC356D" w:rsidRDefault="00CC356D" w:rsidP="00EA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D98E" w14:textId="77777777" w:rsidR="00CC356D" w:rsidRDefault="00CC356D" w:rsidP="00EA5966">
      <w:pPr>
        <w:spacing w:after="0" w:line="240" w:lineRule="auto"/>
      </w:pPr>
      <w:r>
        <w:separator/>
      </w:r>
    </w:p>
  </w:footnote>
  <w:footnote w:type="continuationSeparator" w:id="0">
    <w:p w14:paraId="43244D58" w14:textId="77777777" w:rsidR="00CC356D" w:rsidRDefault="00CC356D" w:rsidP="00EA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37D5" w14:textId="5379ACED" w:rsidR="00EA5966" w:rsidRDefault="00EA5966" w:rsidP="00EA5966">
    <w:pPr>
      <w:pStyle w:val="Header"/>
      <w:jc w:val="center"/>
    </w:pPr>
    <w:r w:rsidRPr="004C5FBB"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DEBD7C3" wp14:editId="7BE53629">
          <wp:simplePos x="0" y="0"/>
          <wp:positionH relativeFrom="column">
            <wp:posOffset>0</wp:posOffset>
          </wp:positionH>
          <wp:positionV relativeFrom="paragraph">
            <wp:posOffset>-142875</wp:posOffset>
          </wp:positionV>
          <wp:extent cx="1733550" cy="466725"/>
          <wp:effectExtent l="0" t="0" r="0" b="9525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4C94D4EA-8C32-4C11-98A4-4E989C0064D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2">
                    <a:extLst>
                      <a:ext uri="{FF2B5EF4-FFF2-40B4-BE49-F238E27FC236}">
                        <a16:creationId xmlns:a16="http://schemas.microsoft.com/office/drawing/2014/main" id="{4C94D4EA-8C32-4C11-98A4-4E989C0064D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5FBB">
      <w:rPr>
        <w:rFonts w:ascii="Calibri" w:eastAsia="Times New Roman" w:hAnsi="Calibri" w:cs="Calibri"/>
        <w:b/>
        <w:bCs/>
        <w:color w:val="000000"/>
      </w:rPr>
      <w:t>EQUITY PLAN-Narrative Component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71314"/>
    <w:multiLevelType w:val="hybridMultilevel"/>
    <w:tmpl w:val="2C20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543DC"/>
    <w:multiLevelType w:val="hybridMultilevel"/>
    <w:tmpl w:val="41B4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32083"/>
    <w:multiLevelType w:val="hybridMultilevel"/>
    <w:tmpl w:val="D1D0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13CC3"/>
    <w:multiLevelType w:val="hybridMultilevel"/>
    <w:tmpl w:val="753C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81"/>
    <w:rsid w:val="002159E5"/>
    <w:rsid w:val="00651DE9"/>
    <w:rsid w:val="006E3767"/>
    <w:rsid w:val="00741A15"/>
    <w:rsid w:val="008873B3"/>
    <w:rsid w:val="00907233"/>
    <w:rsid w:val="00927BD0"/>
    <w:rsid w:val="00A16258"/>
    <w:rsid w:val="00A67681"/>
    <w:rsid w:val="00A81EA1"/>
    <w:rsid w:val="00BC26FA"/>
    <w:rsid w:val="00BF568C"/>
    <w:rsid w:val="00CC356D"/>
    <w:rsid w:val="00D07C0C"/>
    <w:rsid w:val="00D77E01"/>
    <w:rsid w:val="00DD569B"/>
    <w:rsid w:val="00E7706A"/>
    <w:rsid w:val="00EA5966"/>
    <w:rsid w:val="00EC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77F01"/>
  <w15:chartTrackingRefBased/>
  <w15:docId w15:val="{10FBE8E2-CDF0-45E0-A992-79DC5E59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966"/>
  </w:style>
  <w:style w:type="paragraph" w:styleId="Footer">
    <w:name w:val="footer"/>
    <w:basedOn w:val="Normal"/>
    <w:link w:val="FooterChar"/>
    <w:uiPriority w:val="99"/>
    <w:unhideWhenUsed/>
    <w:rsid w:val="00EA5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966"/>
  </w:style>
  <w:style w:type="paragraph" w:styleId="ListParagraph">
    <w:name w:val="List Paragraph"/>
    <w:basedOn w:val="Normal"/>
    <w:uiPriority w:val="34"/>
    <w:qFormat/>
    <w:rsid w:val="00741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14" ma:contentTypeDescription="Create a new document." ma:contentTypeScope="" ma:versionID="70e4c888f0efa5e2678ea9820cfa96bd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0db931e35deb3974e86a5a3af46e63d0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5690B5-047D-41D2-9DCF-3C0FC3384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EC1F9-3D8D-4AA0-A061-E7B719F63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A2B96-AAEE-45E1-87C7-812D7D0D5F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801</Words>
  <Characters>4569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Nixon</dc:creator>
  <cp:keywords/>
  <dc:description/>
  <cp:lastModifiedBy>Courtney Currin</cp:lastModifiedBy>
  <cp:revision>3</cp:revision>
  <cp:lastPrinted>2021-11-23T15:40:00Z</cp:lastPrinted>
  <dcterms:created xsi:type="dcterms:W3CDTF">2021-11-23T17:31:00Z</dcterms:created>
  <dcterms:modified xsi:type="dcterms:W3CDTF">2021-11-23T17:52:00Z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</Properties>
</file>