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780E" w14:textId="6966AC55" w:rsidR="00512312" w:rsidRDefault="00C82861" w:rsidP="00512312">
      <w:r w:rsidRPr="00512312">
        <w:rPr>
          <w:noProof/>
        </w:rPr>
        <mc:AlternateContent>
          <mc:Choice Requires="wps">
            <w:drawing>
              <wp:anchor distT="45720" distB="45720" distL="114300" distR="114300" simplePos="0" relativeHeight="251660288" behindDoc="0" locked="0" layoutInCell="1" allowOverlap="1" wp14:anchorId="4D93FA72" wp14:editId="07B7D1F0">
                <wp:simplePos x="0" y="0"/>
                <wp:positionH relativeFrom="column">
                  <wp:posOffset>2325370</wp:posOffset>
                </wp:positionH>
                <wp:positionV relativeFrom="paragraph">
                  <wp:posOffset>31419</wp:posOffset>
                </wp:positionV>
                <wp:extent cx="4460240" cy="7708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0240" cy="770890"/>
                        </a:xfrm>
                        <a:prstGeom prst="rect">
                          <a:avLst/>
                        </a:prstGeom>
                        <a:solidFill>
                          <a:srgbClr val="002060"/>
                        </a:solidFill>
                        <a:ln w="9525">
                          <a:noFill/>
                          <a:miter lim="800000"/>
                          <a:headEnd/>
                          <a:tailEnd/>
                        </a:ln>
                      </wps:spPr>
                      <wps:txbx>
                        <w:txbxContent>
                          <w:p w14:paraId="79DD970B" w14:textId="77777777" w:rsidR="00F05D76" w:rsidRDefault="00512312" w:rsidP="00512312">
                            <w:pPr>
                              <w:rPr>
                                <w:b/>
                                <w:bCs/>
                                <w:color w:val="FFFFFF" w:themeColor="background1"/>
                                <w:sz w:val="28"/>
                                <w:szCs w:val="28"/>
                              </w:rPr>
                            </w:pPr>
                            <w:r w:rsidRPr="00C82861">
                              <w:rPr>
                                <w:b/>
                                <w:bCs/>
                                <w:color w:val="FFFFFF" w:themeColor="background1"/>
                                <w:sz w:val="36"/>
                                <w:szCs w:val="36"/>
                              </w:rPr>
                              <w:t>Individual Graduation Plans Act 238 (SB 365)</w:t>
                            </w:r>
                          </w:p>
                          <w:p w14:paraId="649D51B5" w14:textId="4CF54ED1" w:rsidR="00512312" w:rsidRPr="00C82861" w:rsidRDefault="00512312" w:rsidP="00F05D76">
                            <w:pPr>
                              <w:ind w:left="1440" w:firstLine="720"/>
                              <w:rPr>
                                <w:b/>
                                <w:bCs/>
                                <w:color w:val="FFFFFF" w:themeColor="background1"/>
                                <w:sz w:val="28"/>
                                <w:szCs w:val="28"/>
                              </w:rPr>
                            </w:pPr>
                            <w:r w:rsidRPr="00C82861">
                              <w:rPr>
                                <w:b/>
                                <w:bCs/>
                                <w:color w:val="FFFFFF" w:themeColor="background1"/>
                                <w:sz w:val="32"/>
                                <w:szCs w:val="32"/>
                              </w:rPr>
                              <w:t>– Sen. Cloud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93FA72" id="_x0000_t202" coordsize="21600,21600" o:spt="202" path="m,l,21600r21600,l21600,xe">
                <v:stroke joinstyle="miter"/>
                <v:path gradientshapeok="t" o:connecttype="rect"/>
              </v:shapetype>
              <v:shape id="Text Box 2" o:spid="_x0000_s1026" type="#_x0000_t202" style="position:absolute;margin-left:183.1pt;margin-top:2.45pt;width:351.2pt;height:60.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" fillcolor="#002060" stroked="f">
                <v:textbox>
                  <w:txbxContent>
                    <w:p w14:paraId="79DD970B" w14:textId="77777777" w:rsidR="00F05D76" w:rsidRDefault="00512312" w:rsidP="00512312">
                      <w:pPr>
                        <w:rPr>
                          <w:b/>
                          <w:bCs/>
                          <w:color w:val="FFFFFF" w:themeColor="background1"/>
                          <w:sz w:val="28"/>
                          <w:szCs w:val="28"/>
                        </w:rPr>
                      </w:pPr>
                      <w:r w:rsidRPr="00C82861">
                        <w:rPr>
                          <w:b/>
                          <w:bCs/>
                          <w:color w:val="FFFFFF" w:themeColor="background1"/>
                          <w:sz w:val="36"/>
                          <w:szCs w:val="36"/>
                        </w:rPr>
                        <w:t>Individual Graduation Plans Act 238 (SB 365)</w:t>
                      </w:r>
                    </w:p>
                    <w:p w14:paraId="649D51B5" w14:textId="4CF54ED1" w:rsidR="00512312" w:rsidRPr="00C82861" w:rsidRDefault="00512312" w:rsidP="00F05D76">
                      <w:pPr>
                        <w:ind w:left="1440" w:firstLine="720"/>
                        <w:rPr>
                          <w:b/>
                          <w:bCs/>
                          <w:color w:val="FFFFFF" w:themeColor="background1"/>
                          <w:sz w:val="28"/>
                          <w:szCs w:val="28"/>
                        </w:rPr>
                      </w:pPr>
                      <w:r w:rsidRPr="00C82861">
                        <w:rPr>
                          <w:b/>
                          <w:bCs/>
                          <w:color w:val="FFFFFF" w:themeColor="background1"/>
                          <w:sz w:val="32"/>
                          <w:szCs w:val="32"/>
                        </w:rPr>
                        <w:t>– Sen. Cloud</w:t>
                      </w:r>
                    </w:p>
                  </w:txbxContent>
                </v:textbox>
                <w10:wrap type="square"/>
              </v:shape>
            </w:pict>
          </mc:Fallback>
        </mc:AlternateContent>
      </w:r>
    </w:p>
    <w:p w14:paraId="4A463AF3" w14:textId="32A13693" w:rsidR="00C82861" w:rsidRPr="00C82861" w:rsidRDefault="00C82861" w:rsidP="00C82861"/>
    <w:p w14:paraId="4AF581B7" w14:textId="44F41FB9" w:rsidR="00C82861" w:rsidRPr="00C82861" w:rsidRDefault="004E5568" w:rsidP="00C82861">
      <w:r w:rsidRPr="00512312">
        <w:rPr>
          <w:noProof/>
        </w:rPr>
        <w:drawing>
          <wp:anchor distT="0" distB="0" distL="114300" distR="114300" simplePos="0" relativeHeight="251659264" behindDoc="0" locked="0" layoutInCell="1" allowOverlap="1" wp14:anchorId="7F263648" wp14:editId="111BC98C">
            <wp:simplePos x="0" y="0"/>
            <wp:positionH relativeFrom="column">
              <wp:posOffset>1748321</wp:posOffset>
            </wp:positionH>
            <wp:positionV relativeFrom="paragraph">
              <wp:posOffset>227330</wp:posOffset>
            </wp:positionV>
            <wp:extent cx="5562699" cy="3609892"/>
            <wp:effectExtent l="0" t="0" r="0" b="0"/>
            <wp:wrapNone/>
            <wp:docPr id="5" name="Picture 4" descr="A group of people standing in a room&#10;&#10;Description automatically generated with medium confidence">
              <a:extLst xmlns:a="http://schemas.openxmlformats.org/drawingml/2006/main">
                <a:ext uri="{FF2B5EF4-FFF2-40B4-BE49-F238E27FC236}">
                  <a16:creationId xmlns:a16="http://schemas.microsoft.com/office/drawing/2014/main" id="{D9D054EE-07E0-4434-B535-FCF127157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people standing in a room&#10;&#10;Description automatically generated with medium confidence">
                      <a:extLst>
                        <a:ext uri="{FF2B5EF4-FFF2-40B4-BE49-F238E27FC236}">
                          <a16:creationId xmlns:a16="http://schemas.microsoft.com/office/drawing/2014/main" id="{D9D054EE-07E0-4434-B535-FCF127157F19}"/>
                        </a:ext>
                      </a:extLst>
                    </pic:cNvPr>
                    <pic:cNvPicPr>
                      <a:picLocks noChangeAspect="1"/>
                    </pic:cNvPicPr>
                  </pic:nvPicPr>
                  <pic:blipFill>
                    <a:blip r:embed="rId5">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5562699" cy="3609892"/>
                    </a:xfrm>
                    <a:prstGeom prst="rect">
                      <a:avLst/>
                    </a:prstGeom>
                  </pic:spPr>
                </pic:pic>
              </a:graphicData>
            </a:graphic>
            <wp14:sizeRelH relativeFrom="margin">
              <wp14:pctWidth>0</wp14:pctWidth>
            </wp14:sizeRelH>
            <wp14:sizeRelV relativeFrom="margin">
              <wp14:pctHeight>0</wp14:pctHeight>
            </wp14:sizeRelV>
          </wp:anchor>
        </w:drawing>
      </w:r>
    </w:p>
    <w:p w14:paraId="4BED202B" w14:textId="60AC16D0" w:rsidR="00C82861" w:rsidRPr="00C82861" w:rsidRDefault="00C82861" w:rsidP="00C82861"/>
    <w:p w14:paraId="5E38C6B5" w14:textId="44C4835F" w:rsidR="00C82861" w:rsidRPr="00C82861" w:rsidRDefault="00C82861" w:rsidP="00C82861"/>
    <w:p w14:paraId="08772BD7" w14:textId="7983E85F" w:rsidR="00C82861" w:rsidRPr="00C82861" w:rsidRDefault="00C82861" w:rsidP="00C82861"/>
    <w:p w14:paraId="5AB1C748" w14:textId="7535BD37" w:rsidR="00C82861" w:rsidRPr="00C82861" w:rsidRDefault="00C82861" w:rsidP="00C82861"/>
    <w:p w14:paraId="66B19952" w14:textId="0B4C5A79" w:rsidR="00C82861" w:rsidRPr="00C82861" w:rsidRDefault="00C82861" w:rsidP="00C82861"/>
    <w:p w14:paraId="1665B893" w14:textId="3F8A8EA7" w:rsidR="00C82861" w:rsidRPr="00C82861" w:rsidRDefault="00C82861" w:rsidP="00C82861"/>
    <w:p w14:paraId="174B3A53" w14:textId="68FA0451" w:rsidR="00C82861" w:rsidRPr="00C82861" w:rsidRDefault="00C82861" w:rsidP="00C82861"/>
    <w:p w14:paraId="4935A955" w14:textId="18BAF038" w:rsidR="00C82861" w:rsidRPr="00C82861" w:rsidRDefault="00C82861" w:rsidP="00C82861"/>
    <w:p w14:paraId="6E9BDF27" w14:textId="49C37FAF" w:rsidR="00C82861" w:rsidRPr="00C82861" w:rsidRDefault="00C82861" w:rsidP="00C82861"/>
    <w:p w14:paraId="080EB406" w14:textId="50C3E26D" w:rsidR="00C82861" w:rsidRPr="00C82861" w:rsidRDefault="00C82861" w:rsidP="00C82861"/>
    <w:p w14:paraId="6EAEE287" w14:textId="18DFFC91" w:rsidR="00C82861" w:rsidRPr="00C82861" w:rsidRDefault="00C82861" w:rsidP="00C82861"/>
    <w:p w14:paraId="054DF812" w14:textId="070FF1F0" w:rsidR="00C82861" w:rsidRPr="00C82861" w:rsidRDefault="00C82861" w:rsidP="00C82861"/>
    <w:p w14:paraId="7BEB07AE" w14:textId="4424F646" w:rsidR="00C82861" w:rsidRPr="00C82861" w:rsidRDefault="004E5568" w:rsidP="00C82861">
      <w:r>
        <w:rPr>
          <w:noProof/>
        </w:rPr>
        <mc:AlternateContent>
          <mc:Choice Requires="wps">
            <w:drawing>
              <wp:anchor distT="45720" distB="45720" distL="114300" distR="114300" simplePos="0" relativeHeight="251662336" behindDoc="0" locked="0" layoutInCell="1" allowOverlap="1" wp14:anchorId="24ECCCC7" wp14:editId="31D1B633">
                <wp:simplePos x="0" y="0"/>
                <wp:positionH relativeFrom="column">
                  <wp:posOffset>-36195</wp:posOffset>
                </wp:positionH>
                <wp:positionV relativeFrom="paragraph">
                  <wp:posOffset>324789</wp:posOffset>
                </wp:positionV>
                <wp:extent cx="9612630" cy="129603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2630" cy="1296035"/>
                        </a:xfrm>
                        <a:prstGeom prst="rect">
                          <a:avLst/>
                        </a:prstGeom>
                        <a:noFill/>
                        <a:ln w="9525">
                          <a:noFill/>
                          <a:miter lim="800000"/>
                          <a:headEnd/>
                          <a:tailEnd/>
                        </a:ln>
                      </wps:spPr>
                      <wps:txbx>
                        <w:txbxContent>
                          <w:p w14:paraId="68D20F74" w14:textId="7A7A4C0E" w:rsidR="00512312" w:rsidRPr="006E74A8" w:rsidRDefault="00512312" w:rsidP="004E5568">
                            <w:pPr>
                              <w:spacing w:after="0" w:line="240" w:lineRule="auto"/>
                              <w:rPr>
                                <w:b/>
                                <w:bCs/>
                                <w:color w:val="002060"/>
                                <w:sz w:val="26"/>
                                <w:szCs w:val="26"/>
                              </w:rPr>
                            </w:pPr>
                            <w:r w:rsidRPr="006E74A8">
                              <w:rPr>
                                <w:b/>
                                <w:bCs/>
                                <w:color w:val="002060"/>
                                <w:sz w:val="26"/>
                                <w:szCs w:val="26"/>
                              </w:rPr>
                              <w:t>When counselors are developing and reviewing a students’ Individual Graduation Plan, the student must be provided information developed by the Louisiana Workforce Commission (LWC) regarding the top twenty high-demand, high-wage jobs in the state and in the student’s region. A counselor or qualified designee must demonstrate to a student how to access the information on the LWC’s website and must print and provide a copy of the listing of the appropriate region’s top twenty high-demand, high-wage jobs to the student. The Department of Education shall display the link to the LWC’s website on its webpage and each city, parish, and other local public school board shall require each public middle school and high school under its jurisdiction to display the link on its website.</w:t>
                            </w:r>
                          </w:p>
                          <w:p w14:paraId="6D2CF479" w14:textId="3B8F108A" w:rsidR="00512312" w:rsidRPr="006E74A8" w:rsidRDefault="00512312">
                            <w:pPr>
                              <w:rPr>
                                <w:b/>
                                <w:bCs/>
                                <w:color w:val="002060"/>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CCCC7" id="_x0000_s1027" type="#_x0000_t202" style="position:absolute;margin-left:-2.85pt;margin-top:25.55pt;width:756.9pt;height:102.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" filled="f" stroked="f">
                <v:textbox>
                  <w:txbxContent>
                    <w:p w14:paraId="68D20F74" w14:textId="7A7A4C0E" w:rsidR="00512312" w:rsidRPr="006E74A8" w:rsidRDefault="00512312" w:rsidP="004E5568">
                      <w:pPr>
                        <w:spacing w:after="0" w:line="240" w:lineRule="auto"/>
                        <w:rPr>
                          <w:b/>
                          <w:bCs/>
                          <w:color w:val="002060"/>
                          <w:sz w:val="26"/>
                          <w:szCs w:val="26"/>
                        </w:rPr>
                      </w:pPr>
                      <w:r w:rsidRPr="006E74A8">
                        <w:rPr>
                          <w:b/>
                          <w:bCs/>
                          <w:color w:val="002060"/>
                          <w:sz w:val="26"/>
                          <w:szCs w:val="26"/>
                        </w:rPr>
                        <w:t xml:space="preserve">When counselors are developing and reviewing a students’ Individual Graduation Plan, the student must be provided information developed by the Louisiana Workforce Commission (LWC) regarding the top twenty high-demand, high-wage jobs in the state and in the student’s region. A counselor or qualified designee must demonstrate to a student how to access the information on the LWC’s website and must print and provide a copy of the listing of the appropriate region’s top twenty high-demand, high-wage jobs to the student. The Department of Education shall display the link to the LWC’s website on its webpage and each city, parish, and other local </w:t>
                      </w:r>
                      <w:proofErr w:type="gramStart"/>
                      <w:r w:rsidRPr="006E74A8">
                        <w:rPr>
                          <w:b/>
                          <w:bCs/>
                          <w:color w:val="002060"/>
                          <w:sz w:val="26"/>
                          <w:szCs w:val="26"/>
                        </w:rPr>
                        <w:t>public school</w:t>
                      </w:r>
                      <w:proofErr w:type="gramEnd"/>
                      <w:r w:rsidRPr="006E74A8">
                        <w:rPr>
                          <w:b/>
                          <w:bCs/>
                          <w:color w:val="002060"/>
                          <w:sz w:val="26"/>
                          <w:szCs w:val="26"/>
                        </w:rPr>
                        <w:t xml:space="preserve"> board shall require each public middle school and high school under its jurisdiction to display the link on its website.</w:t>
                      </w:r>
                    </w:p>
                    <w:p w14:paraId="6D2CF479" w14:textId="3B8F108A" w:rsidR="00512312" w:rsidRPr="006E74A8" w:rsidRDefault="00512312">
                      <w:pPr>
                        <w:rPr>
                          <w:b/>
                          <w:bCs/>
                          <w:color w:val="002060"/>
                          <w:sz w:val="26"/>
                          <w:szCs w:val="26"/>
                        </w:rPr>
                      </w:pPr>
                    </w:p>
                  </w:txbxContent>
                </v:textbox>
                <w10:wrap type="square"/>
              </v:shape>
            </w:pict>
          </mc:Fallback>
        </mc:AlternateContent>
      </w:r>
      <w:r w:rsidRPr="006E74A8">
        <w:rPr>
          <w:noProof/>
        </w:rPr>
        <mc:AlternateContent>
          <mc:Choice Requires="wps">
            <w:drawing>
              <wp:anchor distT="0" distB="0" distL="114300" distR="114300" simplePos="0" relativeHeight="251664384" behindDoc="0" locked="0" layoutInCell="1" allowOverlap="1" wp14:anchorId="66C40404" wp14:editId="5908B8F0">
                <wp:simplePos x="0" y="0"/>
                <wp:positionH relativeFrom="column">
                  <wp:posOffset>4312616</wp:posOffset>
                </wp:positionH>
                <wp:positionV relativeFrom="paragraph">
                  <wp:posOffset>81915</wp:posOffset>
                </wp:positionV>
                <wp:extent cx="3061252" cy="254442"/>
                <wp:effectExtent l="0" t="0" r="0" b="0"/>
                <wp:wrapNone/>
                <wp:docPr id="6" name="TextBox 5">
                  <a:extLst xmlns:a="http://schemas.openxmlformats.org/drawingml/2006/main">
                    <a:ext uri="{FF2B5EF4-FFF2-40B4-BE49-F238E27FC236}">
                      <a16:creationId xmlns:a16="http://schemas.microsoft.com/office/drawing/2014/main" id="{4D5B56B3-2D07-4123-83CF-01F7DC91F2C0}"/>
                    </a:ext>
                  </a:extLst>
                </wp:docPr>
                <wp:cNvGraphicFramePr/>
                <a:graphic xmlns:a="http://schemas.openxmlformats.org/drawingml/2006/main">
                  <a:graphicData uri="http://schemas.microsoft.com/office/word/2010/wordprocessingShape">
                    <wps:wsp>
                      <wps:cNvSpPr txBox="1"/>
                      <wps:spPr>
                        <a:xfrm>
                          <a:off x="0" y="0"/>
                          <a:ext cx="3061252" cy="254442"/>
                        </a:xfrm>
                        <a:prstGeom prst="rect">
                          <a:avLst/>
                        </a:prstGeom>
                        <a:noFill/>
                      </wps:spPr>
                      <wps:txbx>
                        <w:txbxContent>
                          <w:p w14:paraId="3375770A" w14:textId="77777777" w:rsidR="006E74A8" w:rsidRDefault="009100E2" w:rsidP="006E74A8">
                            <w:pPr>
                              <w:rPr>
                                <w:rFonts w:hAnsi="Calibri"/>
                                <w:color w:val="000000" w:themeColor="text1"/>
                                <w:kern w:val="24"/>
                                <w:sz w:val="18"/>
                                <w:szCs w:val="18"/>
                              </w:rPr>
                            </w:pPr>
                            <w:hyperlink r:id="rId7" w:history="1">
                              <w:r w:rsidR="006E74A8">
                                <w:rPr>
                                  <w:rStyle w:val="Hyperlink"/>
                                  <w:rFonts w:hAnsi="Calibri"/>
                                  <w:color w:val="000000" w:themeColor="text1"/>
                                  <w:kern w:val="24"/>
                                  <w:sz w:val="18"/>
                                  <w:szCs w:val="18"/>
                                </w:rPr>
                                <w:t>This Photo</w:t>
                              </w:r>
                            </w:hyperlink>
                            <w:r w:rsidR="006E74A8">
                              <w:rPr>
                                <w:rFonts w:hAnsi="Calibri"/>
                                <w:color w:val="000000" w:themeColor="text1"/>
                                <w:kern w:val="24"/>
                                <w:sz w:val="18"/>
                                <w:szCs w:val="18"/>
                              </w:rPr>
                              <w:t xml:space="preserve"> by Unknown Author is licensed under </w:t>
                            </w:r>
                            <w:hyperlink r:id="rId8" w:history="1">
                              <w:r w:rsidR="006E74A8">
                                <w:rPr>
                                  <w:rStyle w:val="Hyperlink"/>
                                  <w:rFonts w:hAnsi="Calibri"/>
                                  <w:color w:val="000000" w:themeColor="text1"/>
                                  <w:kern w:val="24"/>
                                  <w:sz w:val="18"/>
                                  <w:szCs w:val="18"/>
                                </w:rPr>
                                <w:t>CC BY-SA-NC</w:t>
                              </w:r>
                            </w:hyperlink>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6C40404" id="TextBox 5" o:spid="_x0000_s1028" type="#_x0000_t202" style="position:absolute;margin-left:339.6pt;margin-top:6.45pt;width:241.05pt;height:2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" filled="f" stroked="f">
                <v:textbox>
                  <w:txbxContent>
                    <w:p w14:paraId="3375770A" w14:textId="77777777" w:rsidR="006E74A8" w:rsidRDefault="004E5568" w:rsidP="006E74A8">
                      <w:pPr>
                        <w:rPr>
                          <w:rFonts w:hAnsi="Calibri"/>
                          <w:color w:val="000000" w:themeColor="text1"/>
                          <w:kern w:val="24"/>
                          <w:sz w:val="18"/>
                          <w:szCs w:val="18"/>
                        </w:rPr>
                      </w:pPr>
                      <w:hyperlink r:id="rId9" w:history="1">
                        <w:r w:rsidR="006E74A8">
                          <w:rPr>
                            <w:rStyle w:val="Hyperlink"/>
                            <w:rFonts w:hAnsi="Calibri"/>
                            <w:color w:val="000000" w:themeColor="text1"/>
                            <w:kern w:val="24"/>
                            <w:sz w:val="18"/>
                            <w:szCs w:val="18"/>
                          </w:rPr>
                          <w:t>This Photo</w:t>
                        </w:r>
                      </w:hyperlink>
                      <w:r w:rsidR="006E74A8">
                        <w:rPr>
                          <w:rFonts w:hAnsi="Calibri"/>
                          <w:color w:val="000000" w:themeColor="text1"/>
                          <w:kern w:val="24"/>
                          <w:sz w:val="18"/>
                          <w:szCs w:val="18"/>
                        </w:rPr>
                        <w:t xml:space="preserve"> by Unknown Author is licensed under </w:t>
                      </w:r>
                      <w:hyperlink r:id="rId10" w:history="1">
                        <w:r w:rsidR="006E74A8">
                          <w:rPr>
                            <w:rStyle w:val="Hyperlink"/>
                            <w:rFonts w:hAnsi="Calibri"/>
                            <w:color w:val="000000" w:themeColor="text1"/>
                            <w:kern w:val="24"/>
                            <w:sz w:val="18"/>
                            <w:szCs w:val="18"/>
                          </w:rPr>
                          <w:t>CC BY-SA-NC</w:t>
                        </w:r>
                      </w:hyperlink>
                    </w:p>
                  </w:txbxContent>
                </v:textbox>
              </v:shape>
            </w:pict>
          </mc:Fallback>
        </mc:AlternateContent>
      </w:r>
    </w:p>
    <w:p w14:paraId="4EABB0A1" w14:textId="5C7419C6" w:rsidR="00C82861" w:rsidRPr="00C82861" w:rsidRDefault="00C82861" w:rsidP="00C82861"/>
    <w:p w14:paraId="3C3C3D6F" w14:textId="475D34A1" w:rsidR="00C82861" w:rsidRPr="004E5568" w:rsidRDefault="00C82861" w:rsidP="00C82861">
      <w:pPr>
        <w:rPr>
          <w:b/>
          <w:bCs/>
          <w:color w:val="002060"/>
          <w:u w:val="single"/>
        </w:rPr>
      </w:pPr>
      <w:r w:rsidRPr="004E5568">
        <w:rPr>
          <w:b/>
          <w:bCs/>
          <w:color w:val="002060"/>
          <w:u w:val="single"/>
        </w:rPr>
        <w:t>Louisiana Workforce Commission website links for your school website:</w:t>
      </w:r>
      <w:r w:rsidR="006E74A8" w:rsidRPr="004E5568">
        <w:rPr>
          <w:noProof/>
          <w:color w:val="002060"/>
        </w:rPr>
        <w:t xml:space="preserve"> </w:t>
      </w:r>
    </w:p>
    <w:p w14:paraId="7E273578" w14:textId="2015A868" w:rsidR="00C82861" w:rsidRPr="00D42A00" w:rsidRDefault="00C82861" w:rsidP="00D42A00">
      <w:pPr>
        <w:pStyle w:val="ListParagraph"/>
        <w:numPr>
          <w:ilvl w:val="0"/>
          <w:numId w:val="2"/>
        </w:numPr>
        <w:rPr>
          <w:sz w:val="24"/>
          <w:szCs w:val="24"/>
        </w:rPr>
      </w:pPr>
      <w:r w:rsidRPr="004E5568">
        <w:rPr>
          <w:b/>
          <w:bCs/>
          <w:color w:val="002060"/>
        </w:rPr>
        <w:t xml:space="preserve">High Demand/High Wage Jobs in Louisiana: </w:t>
      </w:r>
      <w:hyperlink r:id="rId11" w:history="1">
        <w:r w:rsidRPr="00D42A00">
          <w:rPr>
            <w:rStyle w:val="Hyperlink"/>
            <w:sz w:val="24"/>
            <w:szCs w:val="24"/>
          </w:rPr>
          <w:t>http://www2.laworks.net/LaborMarketInfo/LMI_HighDemandJobs.asp?yearstart=2016&amp;yeartype=LT</w:t>
        </w:r>
      </w:hyperlink>
    </w:p>
    <w:p w14:paraId="12E13825" w14:textId="64D47DE2" w:rsidR="00D42A00" w:rsidRPr="00D42A00" w:rsidRDefault="00D42A00" w:rsidP="00D42A00">
      <w:pPr>
        <w:pStyle w:val="ListParagraph"/>
        <w:numPr>
          <w:ilvl w:val="0"/>
          <w:numId w:val="2"/>
        </w:numPr>
        <w:rPr>
          <w:sz w:val="24"/>
          <w:szCs w:val="24"/>
        </w:rPr>
      </w:pPr>
      <w:r w:rsidRPr="004E5568">
        <w:rPr>
          <w:b/>
          <w:bCs/>
          <w:color w:val="002060"/>
        </w:rPr>
        <w:t xml:space="preserve">Louisiana Start Jobs: </w:t>
      </w:r>
      <w:hyperlink r:id="rId12" w:history="1">
        <w:r w:rsidRPr="00D42A00">
          <w:rPr>
            <w:rStyle w:val="Hyperlink"/>
            <w:sz w:val="24"/>
            <w:szCs w:val="24"/>
          </w:rPr>
          <w:t>https://www.laworks.net/stars/</w:t>
        </w:r>
      </w:hyperlink>
    </w:p>
    <w:p w14:paraId="69ECAFD3" w14:textId="1C35F936" w:rsidR="00C82861" w:rsidRPr="00C82861" w:rsidRDefault="00D42A00" w:rsidP="00D42A00">
      <w:pPr>
        <w:pStyle w:val="ListParagraph"/>
        <w:numPr>
          <w:ilvl w:val="0"/>
          <w:numId w:val="2"/>
        </w:numPr>
      </w:pPr>
      <w:r w:rsidRPr="004E5568">
        <w:rPr>
          <w:b/>
          <w:bCs/>
          <w:color w:val="002060"/>
        </w:rPr>
        <w:t xml:space="preserve">My Life. My Way: </w:t>
      </w:r>
      <w:hyperlink r:id="rId13" w:history="1">
        <w:r w:rsidRPr="00A61C25">
          <w:rPr>
            <w:rStyle w:val="Hyperlink"/>
            <w:sz w:val="24"/>
            <w:szCs w:val="24"/>
          </w:rPr>
          <w:t>https://www.laworks.net/mylife/</w:t>
        </w:r>
      </w:hyperlink>
    </w:p>
    <w:sectPr w:rsidR="00C82861" w:rsidRPr="00C82861" w:rsidSect="00512312">
      <w:pgSz w:w="15840" w:h="12240" w:orient="landscape"/>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17596"/>
    <w:multiLevelType w:val="hybridMultilevel"/>
    <w:tmpl w:val="DAB6F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E931C5"/>
    <w:multiLevelType w:val="hybridMultilevel"/>
    <w:tmpl w:val="D722D0BA"/>
    <w:lvl w:ilvl="0" w:tplc="75E427A2">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312"/>
    <w:rsid w:val="004E5568"/>
    <w:rsid w:val="00512312"/>
    <w:rsid w:val="006E74A8"/>
    <w:rsid w:val="00857991"/>
    <w:rsid w:val="009100E2"/>
    <w:rsid w:val="00C82861"/>
    <w:rsid w:val="00D42A00"/>
    <w:rsid w:val="00F05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8887"/>
  <w15:chartTrackingRefBased/>
  <w15:docId w15:val="{7AF0E3AA-773B-4E33-AC83-43DB76B8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861"/>
    <w:pPr>
      <w:ind w:left="720"/>
      <w:contextualSpacing/>
    </w:pPr>
  </w:style>
  <w:style w:type="character" w:styleId="Hyperlink">
    <w:name w:val="Hyperlink"/>
    <w:basedOn w:val="DefaultParagraphFont"/>
    <w:uiPriority w:val="99"/>
    <w:unhideWhenUsed/>
    <w:rsid w:val="00C828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3.0/" TargetMode="External"/><Relationship Id="rId13" Type="http://schemas.openxmlformats.org/officeDocument/2006/relationships/hyperlink" Target="https://www.laworks.net/mylife/" TargetMode="External"/><Relationship Id="rId3" Type="http://schemas.openxmlformats.org/officeDocument/2006/relationships/settings" Target="settings.xml"/><Relationship Id="rId7" Type="http://schemas.openxmlformats.org/officeDocument/2006/relationships/hyperlink" Target="https://www.peoplematters.in/blog/leadership/leadership-in-2020-leading-a-digital-workforce-24944" TargetMode="External"/><Relationship Id="rId12" Type="http://schemas.openxmlformats.org/officeDocument/2006/relationships/hyperlink" Target="https://www.laworks.net/sta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oplematters.in/blog/leadership/leadership-in-2020-leading-a-digital-workforce-24944" TargetMode="External"/><Relationship Id="rId11" Type="http://schemas.openxmlformats.org/officeDocument/2006/relationships/hyperlink" Target="http://www2.laworks.net/LaborMarketInfo/LMI_HighDemandJobs.asp?yearstart=2016&amp;yeartype=LT" TargetMode="External"/><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hyperlink" Target="https://creativecommons.org/licenses/by-nc-sa/3.0/" TargetMode="External"/><Relationship Id="rId4" Type="http://schemas.openxmlformats.org/officeDocument/2006/relationships/webSettings" Target="webSettings.xml"/><Relationship Id="rId9" Type="http://schemas.openxmlformats.org/officeDocument/2006/relationships/hyperlink" Target="https://www.peoplematters.in/blog/leadership/leadership-in-2020-leading-a-digital-workforce-2494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Baggett, Crystal</dc:creator>
  <cp:keywords/>
  <dc:description/>
  <cp:lastModifiedBy>Andrepont, Allison</cp:lastModifiedBy>
  <cp:revision>2</cp:revision>
  <dcterms:created xsi:type="dcterms:W3CDTF">2022-03-03T20:32:00Z</dcterms:created>
  <dcterms:modified xsi:type="dcterms:W3CDTF">2022-03-03T20:32:00Z</dcterms:modified>
</cp:coreProperties>
</file>