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F4D" w:rsidRDefault="00D94F4D">
      <w:bookmarkStart w:id="0" w:name="_GoBack"/>
      <w:bookmarkEnd w:id="0"/>
    </w:p>
    <w:p w:rsidR="00A0187B" w:rsidRDefault="00A0187B"/>
    <w:p w:rsidR="00A0187B" w:rsidRDefault="00A0187B"/>
    <w:p w:rsidR="00A0187B" w:rsidRDefault="00A0187B" w:rsidP="00A0187B"/>
    <w:p w:rsidR="00A0187B" w:rsidRDefault="00A0187B" w:rsidP="00A0187B">
      <w:pPr>
        <w:rPr>
          <w:color w:val="1F497D"/>
        </w:rPr>
      </w:pPr>
    </w:p>
    <w:p w:rsidR="00A0187B" w:rsidRDefault="00A0187B" w:rsidP="00A0187B">
      <w:pPr>
        <w:rPr>
          <w:color w:val="1F497D"/>
        </w:rPr>
      </w:pPr>
      <w:r>
        <w:rPr>
          <w:noProof/>
          <w:color w:val="1F497D"/>
        </w:rPr>
        <w:drawing>
          <wp:inline distT="0" distB="0" distL="0" distR="0">
            <wp:extent cx="2009775" cy="571500"/>
            <wp:effectExtent l="0" t="0" r="9525" b="0"/>
            <wp:docPr id="2" name="Picture 2" descr="cid:image001.png@01D63539.45D3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63539.45D3451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09775" cy="571500"/>
                    </a:xfrm>
                    <a:prstGeom prst="rect">
                      <a:avLst/>
                    </a:prstGeom>
                    <a:noFill/>
                    <a:ln>
                      <a:noFill/>
                    </a:ln>
                  </pic:spPr>
                </pic:pic>
              </a:graphicData>
            </a:graphic>
          </wp:inline>
        </w:drawing>
      </w:r>
    </w:p>
    <w:p w:rsidR="00A0187B" w:rsidRDefault="00A0187B" w:rsidP="00A0187B">
      <w:pPr>
        <w:rPr>
          <w:color w:val="1F497D"/>
        </w:rPr>
      </w:pPr>
      <w:r>
        <w:rPr>
          <w:noProof/>
          <w:color w:val="1F497D"/>
        </w:rPr>
        <w:drawing>
          <wp:inline distT="0" distB="0" distL="0" distR="0">
            <wp:extent cx="7524750" cy="1428750"/>
            <wp:effectExtent l="0" t="0" r="0" b="0"/>
            <wp:docPr id="1" name="Picture 1" descr="cid:image002.jpg@01D63539.45D3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descr="cid:image002.jpg@01D63539.45D3451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524750" cy="1428750"/>
                    </a:xfrm>
                    <a:prstGeom prst="rect">
                      <a:avLst/>
                    </a:prstGeom>
                    <a:noFill/>
                    <a:ln>
                      <a:noFill/>
                    </a:ln>
                  </pic:spPr>
                </pic:pic>
              </a:graphicData>
            </a:graphic>
          </wp:inline>
        </w:drawing>
      </w:r>
    </w:p>
    <w:p w:rsidR="00A0187B" w:rsidRDefault="00A0187B" w:rsidP="00A0187B">
      <w:pPr>
        <w:rPr>
          <w:color w:val="1F497D"/>
        </w:rPr>
      </w:pPr>
    </w:p>
    <w:p w:rsidR="00A0187B" w:rsidRDefault="00A0187B" w:rsidP="00A0187B">
      <w:pPr>
        <w:rPr>
          <w:color w:val="1F4E79"/>
          <w:sz w:val="24"/>
          <w:szCs w:val="24"/>
        </w:rPr>
      </w:pPr>
      <w:r>
        <w:rPr>
          <w:color w:val="1F4E79"/>
          <w:sz w:val="24"/>
          <w:szCs w:val="24"/>
        </w:rPr>
        <w:t>Dear Employees of Hacienda La Puente Unified School District,</w:t>
      </w:r>
    </w:p>
    <w:p w:rsidR="00A0187B" w:rsidRDefault="00A0187B" w:rsidP="00A0187B">
      <w:pPr>
        <w:rPr>
          <w:color w:val="1F4E79"/>
          <w:sz w:val="24"/>
          <w:szCs w:val="24"/>
        </w:rPr>
      </w:pPr>
    </w:p>
    <w:p w:rsidR="00A0187B" w:rsidRDefault="00A0187B" w:rsidP="00A0187B">
      <w:pPr>
        <w:rPr>
          <w:color w:val="1F4E79"/>
          <w:sz w:val="24"/>
          <w:szCs w:val="24"/>
        </w:rPr>
      </w:pPr>
      <w:r>
        <w:rPr>
          <w:color w:val="1F4E79"/>
          <w:sz w:val="24"/>
          <w:szCs w:val="24"/>
        </w:rPr>
        <w:t>Important Workers’ Compensation Information</w:t>
      </w:r>
    </w:p>
    <w:p w:rsidR="00A0187B" w:rsidRDefault="00A0187B" w:rsidP="00A0187B">
      <w:pPr>
        <w:rPr>
          <w:color w:val="1F4E79"/>
        </w:rPr>
      </w:pPr>
    </w:p>
    <w:p w:rsidR="00A0187B" w:rsidRDefault="00A0187B" w:rsidP="00A0187B">
      <w:pPr>
        <w:rPr>
          <w:color w:val="1F4E79"/>
        </w:rPr>
      </w:pPr>
      <w:r>
        <w:rPr>
          <w:color w:val="1F4E79"/>
        </w:rPr>
        <w:t xml:space="preserve">Re:         Temporary Disability not owed for Medical Appointments after Return to Work </w:t>
      </w:r>
    </w:p>
    <w:p w:rsidR="00A0187B" w:rsidRDefault="00A0187B" w:rsidP="00A0187B">
      <w:pPr>
        <w:rPr>
          <w:color w:val="1F4E79"/>
          <w:sz w:val="24"/>
          <w:szCs w:val="24"/>
        </w:rPr>
      </w:pPr>
    </w:p>
    <w:p w:rsidR="00A0187B" w:rsidRDefault="00A0187B" w:rsidP="00A0187B">
      <w:pPr>
        <w:rPr>
          <w:color w:val="1F4E79"/>
          <w:sz w:val="24"/>
          <w:szCs w:val="24"/>
        </w:rPr>
      </w:pPr>
      <w:r>
        <w:rPr>
          <w:color w:val="1F4E79"/>
          <w:sz w:val="24"/>
          <w:szCs w:val="24"/>
        </w:rPr>
        <w:t>Effective immediately, any missed time from work to attend industrial medical appointments to treat for a work-related injury, will not be entitled to receive Temporary Disability or wage loss benefits.</w:t>
      </w:r>
    </w:p>
    <w:p w:rsidR="00A0187B" w:rsidRDefault="00A0187B" w:rsidP="00A0187B">
      <w:pPr>
        <w:rPr>
          <w:color w:val="1F4E79"/>
          <w:sz w:val="24"/>
          <w:szCs w:val="24"/>
        </w:rPr>
      </w:pPr>
    </w:p>
    <w:p w:rsidR="00A0187B" w:rsidRDefault="00A0187B" w:rsidP="00A0187B">
      <w:pPr>
        <w:rPr>
          <w:color w:val="1F4E79"/>
          <w:sz w:val="24"/>
          <w:szCs w:val="24"/>
        </w:rPr>
      </w:pPr>
      <w:r>
        <w:rPr>
          <w:color w:val="1F4E79"/>
          <w:sz w:val="24"/>
          <w:szCs w:val="24"/>
        </w:rPr>
        <w:t xml:space="preserve">Please note, on 9/5/2019, the Sixth District Court of Appeals in Skelton vs. WCAB ruled that Temporary Disability Indemnity </w:t>
      </w:r>
      <w:proofErr w:type="gramStart"/>
      <w:r>
        <w:rPr>
          <w:color w:val="1F4E79"/>
          <w:sz w:val="24"/>
          <w:szCs w:val="24"/>
        </w:rPr>
        <w:t>is intended</w:t>
      </w:r>
      <w:proofErr w:type="gramEnd"/>
      <w:r>
        <w:rPr>
          <w:color w:val="1F4E79"/>
          <w:sz w:val="24"/>
          <w:szCs w:val="24"/>
        </w:rPr>
        <w:t xml:space="preserve"> to provide wage replacement only during a period where the employee is healing </w:t>
      </w:r>
      <w:r>
        <w:rPr>
          <w:color w:val="1F4E79"/>
          <w:sz w:val="24"/>
          <w:szCs w:val="24"/>
          <w:u w:val="single"/>
        </w:rPr>
        <w:t>and</w:t>
      </w:r>
      <w:r>
        <w:rPr>
          <w:color w:val="1F4E79"/>
          <w:sz w:val="24"/>
          <w:szCs w:val="24"/>
        </w:rPr>
        <w:t xml:space="preserve"> incapable of working. It is now the law that when an employee who has returned to work, is not entitled to Temporary Disability benefits or wage loss for work missed due to industrial medical appointments even if they are not yet permanent and stationary. This means that when the medical treatment appointments are during work hours, the employee will be required to use sick leave or vacation time or take the time off as unpaid leave. The exception to this is when the employee attends a Medical Legal Appointment such as QME (Qualified Medical Exam) or AME (Agreed Medical Exam).  </w:t>
      </w:r>
    </w:p>
    <w:p w:rsidR="00A0187B" w:rsidRDefault="00A0187B" w:rsidP="00A0187B">
      <w:pPr>
        <w:rPr>
          <w:color w:val="1F4E79"/>
          <w:sz w:val="24"/>
          <w:szCs w:val="24"/>
        </w:rPr>
      </w:pPr>
    </w:p>
    <w:p w:rsidR="00A0187B" w:rsidRDefault="00A0187B" w:rsidP="00A0187B">
      <w:pPr>
        <w:rPr>
          <w:color w:val="1F4E79"/>
          <w:sz w:val="24"/>
          <w:szCs w:val="24"/>
        </w:rPr>
      </w:pPr>
      <w:r>
        <w:rPr>
          <w:color w:val="1F4E79"/>
          <w:sz w:val="24"/>
          <w:szCs w:val="24"/>
        </w:rPr>
        <w:t xml:space="preserve">Please contact our Third Party Administrator, </w:t>
      </w:r>
      <w:proofErr w:type="spellStart"/>
      <w:r>
        <w:rPr>
          <w:color w:val="1F4E79"/>
          <w:sz w:val="24"/>
          <w:szCs w:val="24"/>
        </w:rPr>
        <w:t>Intercare</w:t>
      </w:r>
      <w:proofErr w:type="spellEnd"/>
      <w:r>
        <w:rPr>
          <w:color w:val="1F4E79"/>
          <w:sz w:val="24"/>
          <w:szCs w:val="24"/>
        </w:rPr>
        <w:t xml:space="preserve"> Holdings Insurance Services, Inc., with any questions or concerns at the contact information outlined below.</w:t>
      </w:r>
    </w:p>
    <w:p w:rsidR="00A0187B" w:rsidRDefault="00A0187B" w:rsidP="00A0187B">
      <w:pPr>
        <w:rPr>
          <w:color w:val="1F4E79"/>
          <w:sz w:val="24"/>
          <w:szCs w:val="24"/>
        </w:rPr>
      </w:pPr>
    </w:p>
    <w:p w:rsidR="00A0187B" w:rsidRDefault="00A0187B" w:rsidP="00A0187B">
      <w:pPr>
        <w:rPr>
          <w:color w:val="1F4E79"/>
          <w:sz w:val="24"/>
          <w:szCs w:val="24"/>
        </w:rPr>
      </w:pPr>
      <w:r>
        <w:rPr>
          <w:color w:val="1F4E79"/>
          <w:sz w:val="24"/>
          <w:szCs w:val="24"/>
        </w:rPr>
        <w:t>Kristine Armstrong</w:t>
      </w:r>
    </w:p>
    <w:p w:rsidR="00A0187B" w:rsidRDefault="00A0187B" w:rsidP="00A0187B">
      <w:pPr>
        <w:rPr>
          <w:color w:val="1F4E79"/>
          <w:sz w:val="24"/>
          <w:szCs w:val="24"/>
        </w:rPr>
      </w:pPr>
      <w:r>
        <w:rPr>
          <w:color w:val="1F4E79"/>
          <w:sz w:val="24"/>
          <w:szCs w:val="24"/>
        </w:rPr>
        <w:t>Sr. Claims Adjuster</w:t>
      </w:r>
    </w:p>
    <w:p w:rsidR="00A0187B" w:rsidRDefault="00A0187B" w:rsidP="00A0187B">
      <w:pPr>
        <w:rPr>
          <w:rFonts w:ascii="Arial Narrow" w:hAnsi="Arial Narrow"/>
          <w:color w:val="1F4E79"/>
        </w:rPr>
      </w:pPr>
      <w:hyperlink r:id="rId8" w:history="1">
        <w:r>
          <w:rPr>
            <w:rStyle w:val="Hyperlink"/>
            <w:rFonts w:ascii="Arial Narrow" w:hAnsi="Arial Narrow"/>
            <w:color w:val="1F4E79"/>
          </w:rPr>
          <w:t>karmstrong@intercareins.com</w:t>
        </w:r>
      </w:hyperlink>
    </w:p>
    <w:p w:rsidR="00A0187B" w:rsidRDefault="00A0187B" w:rsidP="00A0187B">
      <w:pPr>
        <w:rPr>
          <w:color w:val="1F4E79"/>
          <w:sz w:val="24"/>
          <w:szCs w:val="24"/>
        </w:rPr>
      </w:pPr>
      <w:r>
        <w:rPr>
          <w:color w:val="1F4E79"/>
          <w:sz w:val="24"/>
          <w:szCs w:val="24"/>
        </w:rPr>
        <w:t>P: (818) 459-8218</w:t>
      </w:r>
    </w:p>
    <w:p w:rsidR="00A0187B" w:rsidRDefault="00A0187B"/>
    <w:sectPr w:rsidR="00A01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87B"/>
    <w:rsid w:val="00A0187B"/>
    <w:rsid w:val="00D94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5DAF"/>
  <w15:chartTrackingRefBased/>
  <w15:docId w15:val="{D8CD3CD2-273B-406E-A05E-5110336D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87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18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mstrong@intercareins.com" TargetMode="External"/><Relationship Id="rId3" Type="http://schemas.openxmlformats.org/officeDocument/2006/relationships/webSettings" Target="webSettings.xml"/><Relationship Id="rId7" Type="http://schemas.openxmlformats.org/officeDocument/2006/relationships/image" Target="cid:image002.jpg@01D63539.45D345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cid:image001.png@01D63539.45D34510"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Hacienda La Puente USD</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Longan</dc:creator>
  <cp:keywords/>
  <dc:description/>
  <cp:lastModifiedBy>Hal Longan</cp:lastModifiedBy>
  <cp:revision>1</cp:revision>
  <dcterms:created xsi:type="dcterms:W3CDTF">2020-09-27T20:07:00Z</dcterms:created>
  <dcterms:modified xsi:type="dcterms:W3CDTF">2020-09-27T20:10:00Z</dcterms:modified>
</cp:coreProperties>
</file>