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jpeg" ContentType="image/jpeg"/>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spacing w:before="6"/>
        <w:rPr>
          <w:sz w:val="13"/>
        </w:rPr>
      </w:pPr>
    </w:p>
    <w:p>
      <w:pPr>
        <w:spacing w:before="85"/>
        <w:ind w:left="2988" w:right="2990" w:firstLine="0"/>
        <w:jc w:val="center"/>
        <w:rPr>
          <w:b/>
          <w:sz w:val="36"/>
        </w:rPr>
      </w:pPr>
      <w:r>
        <w:rPr>
          <w:b/>
          <w:color w:val="231F20"/>
          <w:spacing w:val="-14"/>
          <w:sz w:val="36"/>
        </w:rPr>
        <w:t>PARENT </w:t>
      </w:r>
      <w:r>
        <w:rPr>
          <w:b/>
          <w:color w:val="231F20"/>
          <w:spacing w:val="-10"/>
          <w:sz w:val="36"/>
        </w:rPr>
        <w:t>GUIDE </w:t>
      </w:r>
      <w:r>
        <w:rPr>
          <w:b/>
          <w:color w:val="231F20"/>
          <w:spacing w:val="-9"/>
          <w:sz w:val="36"/>
        </w:rPr>
        <w:t>TO </w:t>
      </w:r>
      <w:r>
        <w:rPr>
          <w:b/>
          <w:color w:val="231F20"/>
          <w:spacing w:val="-18"/>
          <w:sz w:val="36"/>
        </w:rPr>
        <w:t>ALTERNATE</w:t>
      </w:r>
    </w:p>
    <w:p>
      <w:pPr>
        <w:spacing w:line="411" w:lineRule="exact" w:before="1"/>
        <w:ind w:left="2988" w:right="2988" w:firstLine="0"/>
        <w:jc w:val="center"/>
        <w:rPr>
          <w:b/>
          <w:sz w:val="36"/>
        </w:rPr>
      </w:pPr>
      <w:r>
        <w:rPr>
          <w:b/>
          <w:color w:val="231F20"/>
          <w:sz w:val="36"/>
        </w:rPr>
        <w:t>K-PREP</w:t>
      </w:r>
    </w:p>
    <w:p>
      <w:pPr>
        <w:pStyle w:val="BodyText"/>
        <w:spacing w:line="273" w:lineRule="exact"/>
        <w:ind w:left="1420" w:right="1435"/>
        <w:jc w:val="center"/>
      </w:pPr>
      <w:r>
        <w:rPr>
          <w:color w:val="231F20"/>
        </w:rPr>
        <w:t>Alternate Kentucky Performance Rating for Educational Progress</w:t>
      </w:r>
    </w:p>
    <w:p>
      <w:pPr>
        <w:pStyle w:val="BodyText"/>
        <w:spacing w:before="6"/>
        <w:rPr>
          <w:sz w:val="26"/>
        </w:rPr>
      </w:pPr>
    </w:p>
    <w:p>
      <w:pPr>
        <w:pStyle w:val="BodyText"/>
        <w:spacing w:line="252" w:lineRule="auto"/>
        <w:ind w:left="2988" w:right="2934"/>
        <w:jc w:val="center"/>
      </w:pPr>
      <w:r>
        <w:rPr>
          <w:color w:val="231F20"/>
        </w:rPr>
        <w:t>Important Terms to Know &amp; Questions and Answers</w:t>
      </w:r>
    </w:p>
    <w:p>
      <w:pPr>
        <w:pStyle w:val="BodyText"/>
        <w:rPr>
          <w:sz w:val="20"/>
        </w:rPr>
      </w:pPr>
    </w:p>
    <w:p>
      <w:pPr>
        <w:pStyle w:val="BodyText"/>
        <w:spacing w:before="1"/>
        <w:rPr>
          <w:sz w:val="29"/>
        </w:rPr>
      </w:pPr>
      <w:r>
        <w:rPr/>
        <w:drawing>
          <wp:anchor distT="0" distB="0" distL="0" distR="0" allowOverlap="1" layoutInCell="1" locked="0" behindDoc="0" simplePos="0" relativeHeight="0">
            <wp:simplePos x="0" y="0"/>
            <wp:positionH relativeFrom="page">
              <wp:posOffset>2731770</wp:posOffset>
            </wp:positionH>
            <wp:positionV relativeFrom="paragraph">
              <wp:posOffset>237339</wp:posOffset>
            </wp:positionV>
            <wp:extent cx="2383726" cy="2383726"/>
            <wp:effectExtent l="0" t="0" r="0" b="0"/>
            <wp:wrapTopAndBottom/>
            <wp:docPr id="1" name="image1.jpeg" descr=""/>
            <wp:cNvGraphicFramePr>
              <a:graphicFrameLocks noChangeAspect="1"/>
            </wp:cNvGraphicFramePr>
            <a:graphic>
              <a:graphicData uri="http://schemas.openxmlformats.org/drawingml/2006/picture">
                <pic:pic>
                  <pic:nvPicPr>
                    <pic:cNvPr id="2" name="image1.jpeg"/>
                    <pic:cNvPicPr/>
                  </pic:nvPicPr>
                  <pic:blipFill>
                    <a:blip r:embed="rId6" cstate="print"/>
                    <a:stretch>
                      <a:fillRect/>
                    </a:stretch>
                  </pic:blipFill>
                  <pic:spPr>
                    <a:xfrm>
                      <a:off x="0" y="0"/>
                      <a:ext cx="2383726" cy="2383726"/>
                    </a:xfrm>
                    <a:prstGeom prst="rect">
                      <a:avLst/>
                    </a:prstGeom>
                  </pic:spPr>
                </pic:pic>
              </a:graphicData>
            </a:graphic>
          </wp:anchor>
        </w:drawing>
      </w:r>
    </w:p>
    <w:p>
      <w:pPr>
        <w:spacing w:after="0"/>
        <w:rPr>
          <w:sz w:val="29"/>
        </w:rPr>
        <w:sectPr>
          <w:footerReference w:type="default" r:id="rId5"/>
          <w:type w:val="continuous"/>
          <w:pgSz w:w="12240" w:h="15840"/>
          <w:pgMar w:footer="1564" w:top="1500" w:bottom="1760" w:left="1720" w:right="1320"/>
        </w:sectPr>
      </w:pPr>
    </w:p>
    <w:p>
      <w:pPr>
        <w:pStyle w:val="Heading1"/>
        <w:spacing w:before="64"/>
        <w:ind w:left="2779"/>
        <w:rPr>
          <w:u w:val="none"/>
        </w:rPr>
      </w:pPr>
      <w:r>
        <w:rPr>
          <w:color w:val="231F20"/>
          <w:u w:val="none"/>
        </w:rPr>
        <w:t>IMPORTANT TERMS TO KNOW</w:t>
      </w:r>
    </w:p>
    <w:p>
      <w:pPr>
        <w:pStyle w:val="BodyText"/>
        <w:spacing w:before="6"/>
        <w:rPr>
          <w:b/>
          <w:sz w:val="26"/>
        </w:rPr>
      </w:pPr>
    </w:p>
    <w:p>
      <w:pPr>
        <w:pStyle w:val="BodyText"/>
        <w:spacing w:line="247" w:lineRule="auto"/>
        <w:ind w:left="112" w:right="143" w:firstLine="9"/>
      </w:pPr>
      <w:r>
        <w:rPr>
          <w:b/>
          <w:color w:val="231F20"/>
        </w:rPr>
        <w:t>AAC: </w:t>
      </w:r>
      <w:r>
        <w:rPr>
          <w:color w:val="231F20"/>
        </w:rPr>
        <w:t>Augmentative and Alternative Communication (e.g., speech generating devices such as text-to-speech communication aids, picture or symbol boards, etc.)</w:t>
      </w:r>
    </w:p>
    <w:p>
      <w:pPr>
        <w:pStyle w:val="BodyText"/>
        <w:spacing w:before="9"/>
        <w:rPr>
          <w:sz w:val="25"/>
        </w:rPr>
      </w:pPr>
    </w:p>
    <w:p>
      <w:pPr>
        <w:pStyle w:val="BodyText"/>
        <w:spacing w:line="247" w:lineRule="auto"/>
        <w:ind w:left="112" w:right="143" w:firstLine="9"/>
      </w:pPr>
      <w:r>
        <w:rPr>
          <w:b/>
          <w:color w:val="231F20"/>
        </w:rPr>
        <w:t>Accommodation: </w:t>
      </w:r>
      <w:r>
        <w:rPr>
          <w:color w:val="231F20"/>
        </w:rPr>
        <w:t>A change in materials or procedures that facilitates access during instruction and assessment. Accommodations do not change the construct or intent of what is being taught or measured. Assessment accommodations are intended to allow the student to participate in the assessment and to produce valid results that indicate what a student knows and can do.</w:t>
      </w:r>
    </w:p>
    <w:p>
      <w:pPr>
        <w:pStyle w:val="BodyText"/>
        <w:spacing w:before="6"/>
        <w:rPr>
          <w:sz w:val="25"/>
        </w:rPr>
      </w:pPr>
    </w:p>
    <w:p>
      <w:pPr>
        <w:pStyle w:val="BodyText"/>
        <w:spacing w:line="249" w:lineRule="auto" w:before="1"/>
        <w:ind w:left="112" w:right="162" w:firstLine="9"/>
      </w:pPr>
      <w:r>
        <w:rPr>
          <w:b/>
          <w:color w:val="231F20"/>
        </w:rPr>
        <w:t>Adaptations – </w:t>
      </w:r>
      <w:r>
        <w:rPr>
          <w:color w:val="231F20"/>
        </w:rPr>
        <w:t>Changes made specific to the students individual needs. Changes made to existing materials or instructional delivery to meet the needs of a student. Examples include head pointers, Boardmaker (Mayer Johnson) symbols, and photographs, symbols paired with real objects, real objects, enlarged pictures, textured or raised pictures, high contrast color or coactive signs.</w:t>
      </w:r>
    </w:p>
    <w:p>
      <w:pPr>
        <w:pStyle w:val="BodyText"/>
        <w:spacing w:before="6"/>
        <w:rPr>
          <w:sz w:val="25"/>
        </w:rPr>
      </w:pPr>
    </w:p>
    <w:p>
      <w:pPr>
        <w:pStyle w:val="BodyText"/>
        <w:spacing w:line="247" w:lineRule="auto" w:before="1"/>
        <w:ind w:left="112" w:right="147" w:firstLine="9"/>
      </w:pPr>
      <w:r>
        <w:rPr>
          <w:b/>
          <w:color w:val="231F20"/>
        </w:rPr>
        <w:t>Adaptive behavior: </w:t>
      </w:r>
      <w:r>
        <w:rPr>
          <w:color w:val="231F20"/>
        </w:rPr>
        <w:t>Behaviors defined as essential for someone to live independently and to function safely in daily life.</w:t>
      </w:r>
    </w:p>
    <w:p>
      <w:pPr>
        <w:pStyle w:val="BodyText"/>
        <w:spacing w:before="9"/>
        <w:rPr>
          <w:sz w:val="25"/>
        </w:rPr>
      </w:pPr>
    </w:p>
    <w:p>
      <w:pPr>
        <w:spacing w:line="247" w:lineRule="auto" w:before="0"/>
        <w:ind w:left="112" w:right="162" w:firstLine="9"/>
        <w:jc w:val="left"/>
        <w:rPr>
          <w:sz w:val="24"/>
        </w:rPr>
      </w:pPr>
      <w:r>
        <w:rPr>
          <w:b/>
          <w:color w:val="231F20"/>
          <w:sz w:val="24"/>
        </w:rPr>
        <w:t>(ARC) Admissions and Release Committee: </w:t>
      </w:r>
      <w:r>
        <w:rPr>
          <w:color w:val="231F20"/>
          <w:sz w:val="24"/>
        </w:rPr>
        <w:t>A group of individuals responsible for developing, reviewing, or revising an Individual Education Program (IEP) for a student with a disability.</w:t>
      </w:r>
    </w:p>
    <w:p>
      <w:pPr>
        <w:pStyle w:val="BodyText"/>
        <w:spacing w:before="9"/>
        <w:rPr>
          <w:sz w:val="25"/>
        </w:rPr>
      </w:pPr>
    </w:p>
    <w:p>
      <w:pPr>
        <w:pStyle w:val="BodyText"/>
        <w:spacing w:line="247" w:lineRule="auto"/>
        <w:ind w:left="112" w:right="95" w:firstLine="9"/>
      </w:pPr>
      <w:r>
        <w:rPr>
          <w:b/>
          <w:color w:val="231F20"/>
        </w:rPr>
        <w:t>Alternate achievement standards: </w:t>
      </w:r>
      <w:r>
        <w:rPr>
          <w:color w:val="231F20"/>
        </w:rPr>
        <w:t>An alternate achievement standard sets an expectation of performance that differs in complexity from a grade-level achievement standard. The December 9, 2003 regulations clarify that a State is permitted to use alternate achievement standards to evaluate the performance of students with the most significant cognitive disabilities.</w:t>
      </w:r>
    </w:p>
    <w:p>
      <w:pPr>
        <w:pStyle w:val="BodyText"/>
        <w:spacing w:line="247" w:lineRule="auto" w:before="6"/>
        <w:ind w:left="112" w:firstLine="9"/>
      </w:pPr>
      <w:r>
        <w:rPr>
          <w:color w:val="231F20"/>
        </w:rPr>
        <w:t>In general, alternate achievement standards must be aligned with a State’s academic content standards, promote access to the general curriculum, and reflect professional judgment of the highest achievement standards possible. (See 34 C.F.R. §200.1(d).)</w:t>
      </w:r>
    </w:p>
    <w:p>
      <w:pPr>
        <w:pStyle w:val="BodyText"/>
        <w:spacing w:before="9"/>
        <w:rPr>
          <w:sz w:val="25"/>
        </w:rPr>
      </w:pPr>
    </w:p>
    <w:p>
      <w:pPr>
        <w:pStyle w:val="BodyText"/>
        <w:spacing w:line="249" w:lineRule="auto"/>
        <w:ind w:left="112" w:right="121" w:firstLine="9"/>
      </w:pPr>
      <w:r>
        <w:rPr>
          <w:b/>
          <w:color w:val="231F20"/>
        </w:rPr>
        <w:t>Alternative high school diploma: </w:t>
      </w:r>
      <w:r>
        <w:rPr>
          <w:color w:val="231F20"/>
        </w:rPr>
        <w:t>Provided to students with disabilities who are unable to meet requirements for a regular high school diploma. Recipients of an alternative high school diploma will participate in alternate assessments and complete the alternative course of study. The alternative high school diploma is not equivalent to a regular high school</w:t>
      </w:r>
      <w:r>
        <w:rPr>
          <w:color w:val="231F20"/>
          <w:spacing w:val="-38"/>
        </w:rPr>
        <w:t> </w:t>
      </w:r>
      <w:r>
        <w:rPr>
          <w:color w:val="231F20"/>
        </w:rPr>
        <w:t>diploma.</w:t>
      </w:r>
    </w:p>
    <w:p>
      <w:pPr>
        <w:pStyle w:val="BodyText"/>
        <w:spacing w:before="6"/>
        <w:rPr>
          <w:sz w:val="25"/>
        </w:rPr>
      </w:pPr>
    </w:p>
    <w:p>
      <w:pPr>
        <w:pStyle w:val="BodyText"/>
        <w:spacing w:line="247" w:lineRule="auto"/>
        <w:ind w:left="112" w:right="144" w:firstLine="9"/>
      </w:pPr>
      <w:r>
        <w:rPr>
          <w:b/>
          <w:color w:val="231F20"/>
        </w:rPr>
        <w:t>Assistive technology - </w:t>
      </w:r>
      <w:r>
        <w:rPr>
          <w:color w:val="231F20"/>
        </w:rPr>
        <w:t>Tools and strategies used to assist students in developing and participating in meaningful academics, social relationships, and employment activities; it can range from low technology (e.g., unaided communication systems, sign language, etc.) to high technology, such as computers with switch interfaces.</w:t>
      </w:r>
    </w:p>
    <w:p>
      <w:pPr>
        <w:spacing w:after="0" w:line="247" w:lineRule="auto"/>
        <w:sectPr>
          <w:footerReference w:type="default" r:id="rId7"/>
          <w:pgSz w:w="12240" w:h="15840"/>
          <w:pgMar w:footer="984" w:header="0" w:top="1380" w:bottom="1180" w:left="1700" w:right="1320"/>
          <w:pgNumType w:start="2"/>
        </w:sectPr>
      </w:pPr>
    </w:p>
    <w:p>
      <w:pPr>
        <w:pStyle w:val="BodyText"/>
        <w:spacing w:line="247" w:lineRule="auto" w:before="76"/>
        <w:ind w:left="112" w:right="233" w:firstLine="9"/>
      </w:pPr>
      <w:r>
        <w:rPr>
          <w:b/>
          <w:color w:val="231F20"/>
        </w:rPr>
        <w:t>Augmentative and alternative communication - </w:t>
      </w:r>
      <w:r>
        <w:rPr>
          <w:color w:val="231F20"/>
        </w:rPr>
        <w:t>Low, medium or high technology system that assists the student in expressive language (e.g., making a request, initiating and responding to questions, describing things or events and expressing refusal).</w:t>
      </w:r>
    </w:p>
    <w:p>
      <w:pPr>
        <w:pStyle w:val="BodyText"/>
        <w:spacing w:before="8"/>
        <w:rPr>
          <w:sz w:val="25"/>
        </w:rPr>
      </w:pPr>
    </w:p>
    <w:p>
      <w:pPr>
        <w:spacing w:line="247" w:lineRule="auto" w:before="0"/>
        <w:ind w:left="112" w:right="407" w:firstLine="9"/>
        <w:jc w:val="left"/>
        <w:rPr>
          <w:sz w:val="24"/>
        </w:rPr>
      </w:pPr>
      <w:r>
        <w:rPr>
          <w:b/>
          <w:color w:val="231F20"/>
          <w:sz w:val="24"/>
        </w:rPr>
        <w:t>Communicative competence</w:t>
      </w:r>
      <w:r>
        <w:rPr>
          <w:color w:val="231F20"/>
          <w:sz w:val="24"/>
        </w:rPr>
        <w:t>: The use of a communication system that allows students to gain and demonstrate knowledge.</w:t>
      </w:r>
    </w:p>
    <w:p>
      <w:pPr>
        <w:pStyle w:val="BodyText"/>
        <w:spacing w:before="8"/>
        <w:rPr>
          <w:sz w:val="25"/>
        </w:rPr>
      </w:pPr>
    </w:p>
    <w:p>
      <w:pPr>
        <w:pStyle w:val="BodyText"/>
        <w:spacing w:line="247" w:lineRule="auto"/>
        <w:ind w:left="112" w:right="572" w:firstLine="9"/>
        <w:jc w:val="both"/>
      </w:pPr>
      <w:r>
        <w:rPr>
          <w:b/>
          <w:color w:val="414142"/>
        </w:rPr>
        <w:t>Content target: </w:t>
      </w:r>
      <w:r>
        <w:rPr>
          <w:color w:val="414142"/>
        </w:rPr>
        <w:t>Content targets identify those content standards that are the focus of the assessment. For the Alternate K-Prep the content targets are defined by the Core Content Connectors in English language arts and mathematics.</w:t>
      </w:r>
    </w:p>
    <w:p>
      <w:pPr>
        <w:pStyle w:val="BodyText"/>
        <w:spacing w:before="8"/>
        <w:rPr>
          <w:sz w:val="25"/>
        </w:rPr>
      </w:pPr>
    </w:p>
    <w:p>
      <w:pPr>
        <w:pStyle w:val="BodyText"/>
        <w:spacing w:line="249" w:lineRule="auto"/>
        <w:ind w:left="112" w:right="476" w:firstLine="9"/>
      </w:pPr>
      <w:r>
        <w:rPr>
          <w:b/>
          <w:color w:val="231F20"/>
        </w:rPr>
        <w:t>Current data - </w:t>
      </w:r>
      <w:r>
        <w:rPr>
          <w:color w:val="231F20"/>
        </w:rPr>
        <w:t>Data that are collected within the most recent 365-day time period. Examples include IEP progress monitoring data, IEP progress reports, classroom-based assessments, classroom observations, work samples, functional behavior assessment data, transition assessment, assistive technology evaluation and attendance records.</w:t>
      </w:r>
    </w:p>
    <w:p>
      <w:pPr>
        <w:pStyle w:val="BodyText"/>
        <w:spacing w:before="6"/>
        <w:rPr>
          <w:sz w:val="25"/>
        </w:rPr>
      </w:pPr>
    </w:p>
    <w:p>
      <w:pPr>
        <w:pStyle w:val="BodyText"/>
        <w:spacing w:line="247" w:lineRule="auto"/>
        <w:ind w:left="112" w:right="143" w:firstLine="9"/>
      </w:pPr>
      <w:r>
        <w:rPr>
          <w:b/>
          <w:color w:val="231F20"/>
        </w:rPr>
        <w:t>English Learner (EL</w:t>
      </w:r>
      <w:r>
        <w:rPr>
          <w:color w:val="231F20"/>
        </w:rPr>
        <w:t>): An EL is a student whose native language is a language other than English or a student who comes from an environment where a language other than English has had a significant impact on the individual’s level of English language proficiency. An EL’s difficulties in speaking, reading, writing or understanding the English language may be a barrier to learning in classrooms instructed in English and to performance on assessments presented in English.</w:t>
      </w:r>
    </w:p>
    <w:p>
      <w:pPr>
        <w:pStyle w:val="BodyText"/>
        <w:spacing w:before="6"/>
        <w:rPr>
          <w:sz w:val="25"/>
        </w:rPr>
      </w:pPr>
    </w:p>
    <w:p>
      <w:pPr>
        <w:pStyle w:val="BodyText"/>
        <w:spacing w:line="249" w:lineRule="auto" w:before="1"/>
        <w:ind w:left="112" w:right="337" w:firstLine="9"/>
      </w:pPr>
      <w:r>
        <w:rPr>
          <w:b/>
          <w:color w:val="231F20"/>
        </w:rPr>
        <w:t>Every Student Succeeds Act (ESSA): </w:t>
      </w:r>
      <w:r>
        <w:rPr>
          <w:color w:val="231F20"/>
        </w:rPr>
        <w:t>In December 2015, Congress reauthorized the Elementary and Secondary Education Act, the main federal law governing P-12 public education. Known as the Every Student Succeeds Act (ESSA), the measure replaced No Child Left Behind and created a long-term policy that gives states additional flexibility and provides more state and local control over the accountability process.</w:t>
      </w:r>
    </w:p>
    <w:p>
      <w:pPr>
        <w:pStyle w:val="BodyText"/>
        <w:spacing w:before="6"/>
        <w:rPr>
          <w:sz w:val="25"/>
        </w:rPr>
      </w:pPr>
    </w:p>
    <w:p>
      <w:pPr>
        <w:pStyle w:val="BodyText"/>
        <w:spacing w:line="247" w:lineRule="auto" w:before="1"/>
        <w:ind w:left="112" w:right="434" w:firstLine="9"/>
      </w:pPr>
      <w:r>
        <w:rPr>
          <w:b/>
          <w:color w:val="414142"/>
        </w:rPr>
        <w:t>Evidence: </w:t>
      </w:r>
      <w:r>
        <w:rPr>
          <w:color w:val="414142"/>
        </w:rPr>
        <w:t>This refers to the specific sources of information being used to identify student characteristics that either meet or do not meet the participation criteria.</w:t>
      </w:r>
    </w:p>
    <w:p>
      <w:pPr>
        <w:pStyle w:val="BodyText"/>
        <w:spacing w:before="9"/>
        <w:rPr>
          <w:sz w:val="25"/>
        </w:rPr>
      </w:pPr>
    </w:p>
    <w:p>
      <w:pPr>
        <w:pStyle w:val="BodyText"/>
        <w:spacing w:line="247" w:lineRule="auto"/>
        <w:ind w:left="112" w:right="273" w:firstLine="9"/>
      </w:pPr>
      <w:r>
        <w:rPr>
          <w:b/>
          <w:color w:val="231F20"/>
        </w:rPr>
        <w:t>Exceeds accommodations – </w:t>
      </w:r>
      <w:r>
        <w:rPr>
          <w:color w:val="231F20"/>
        </w:rPr>
        <w:t>Accommodations, modifications and assistive technology that EXCEED what is allowed on the general assessments for students, as described in the “Inclusion Document” and set forth in 703 KAR 5:070.</w:t>
      </w:r>
    </w:p>
    <w:p>
      <w:pPr>
        <w:pStyle w:val="BodyText"/>
        <w:spacing w:before="9"/>
        <w:rPr>
          <w:sz w:val="25"/>
        </w:rPr>
      </w:pPr>
    </w:p>
    <w:p>
      <w:pPr>
        <w:pStyle w:val="BodyText"/>
        <w:spacing w:line="247" w:lineRule="auto"/>
        <w:ind w:left="112" w:firstLine="9"/>
      </w:pPr>
      <w:r>
        <w:rPr>
          <w:b/>
          <w:color w:val="231F20"/>
        </w:rPr>
        <w:t>Extensive direct individualized instruction: </w:t>
      </w:r>
      <w:r>
        <w:rPr>
          <w:color w:val="231F20"/>
        </w:rPr>
        <w:t>Concentrated instruction designed for and directed toward an individual student. This type of instruction is needed by students with significant cognitive disabilities to acquire knowledge and skills in context. Students with significant cognitive disabilities are likely to need this extensively to apply knowledge and skills in multiple contexts.</w:t>
      </w:r>
    </w:p>
    <w:p>
      <w:pPr>
        <w:pStyle w:val="BodyText"/>
        <w:spacing w:before="8"/>
        <w:rPr>
          <w:sz w:val="25"/>
        </w:rPr>
      </w:pPr>
    </w:p>
    <w:p>
      <w:pPr>
        <w:spacing w:line="247" w:lineRule="auto" w:before="1"/>
        <w:ind w:left="112" w:right="153" w:firstLine="9"/>
        <w:jc w:val="left"/>
        <w:rPr>
          <w:sz w:val="24"/>
        </w:rPr>
      </w:pPr>
      <w:r>
        <w:rPr>
          <w:b/>
          <w:color w:val="231F20"/>
          <w:sz w:val="24"/>
        </w:rPr>
        <w:t>(IDEA) Individuals with Disabilities Education Act: </w:t>
      </w:r>
      <w:r>
        <w:rPr>
          <w:color w:val="231F20"/>
          <w:sz w:val="24"/>
        </w:rPr>
        <w:t>The IDEA is a federal law enacted in 1990 and reauthorized in 1997 and again in 2004. It is designed to protect the rights of</w:t>
      </w:r>
    </w:p>
    <w:p>
      <w:pPr>
        <w:spacing w:after="0" w:line="247" w:lineRule="auto"/>
        <w:jc w:val="left"/>
        <w:rPr>
          <w:sz w:val="24"/>
        </w:rPr>
        <w:sectPr>
          <w:pgSz w:w="12240" w:h="15840"/>
          <w:pgMar w:header="0" w:footer="984" w:top="1360" w:bottom="1180" w:left="1700" w:right="1320"/>
        </w:sectPr>
      </w:pPr>
    </w:p>
    <w:p>
      <w:pPr>
        <w:pStyle w:val="BodyText"/>
        <w:spacing w:line="247" w:lineRule="auto" w:before="76"/>
        <w:ind w:left="112" w:right="310"/>
      </w:pPr>
      <w:r>
        <w:rPr>
          <w:color w:val="231F20"/>
        </w:rPr>
        <w:t>students with disabilities by ensuring that everyone receives a </w:t>
      </w:r>
      <w:r>
        <w:rPr>
          <w:i/>
          <w:color w:val="231F20"/>
        </w:rPr>
        <w:t>free appropriate public </w:t>
      </w:r>
      <w:r>
        <w:rPr>
          <w:i/>
          <w:color w:val="231F20"/>
        </w:rPr>
        <w:t>education </w:t>
      </w:r>
      <w:r>
        <w:rPr>
          <w:color w:val="231F20"/>
        </w:rPr>
        <w:t>(FAPE), regardless of ability. Furthermore, IDEA strives not only to grant equal access to students with disabilities, but also to provide additional special education services and procedural safeguards.</w:t>
      </w:r>
    </w:p>
    <w:p>
      <w:pPr>
        <w:pStyle w:val="BodyText"/>
        <w:spacing w:before="8"/>
        <w:rPr>
          <w:sz w:val="25"/>
        </w:rPr>
      </w:pPr>
    </w:p>
    <w:p>
      <w:pPr>
        <w:pStyle w:val="BodyText"/>
        <w:spacing w:line="247" w:lineRule="auto"/>
        <w:ind w:left="112" w:right="199" w:firstLine="9"/>
      </w:pPr>
      <w:r>
        <w:rPr>
          <w:b/>
          <w:color w:val="231F20"/>
        </w:rPr>
        <w:t>(IEP) Individualized Education Program: </w:t>
      </w:r>
      <w:r>
        <w:rPr>
          <w:color w:val="231F20"/>
        </w:rPr>
        <w:t>A written statement for a child with a disability that is developed, reviewed and revised annually with the ARC. It consists of learner goals and objectives utilized for student success.</w:t>
      </w:r>
    </w:p>
    <w:p>
      <w:pPr>
        <w:pStyle w:val="BodyText"/>
        <w:spacing w:before="6"/>
        <w:rPr>
          <w:sz w:val="25"/>
        </w:rPr>
      </w:pPr>
    </w:p>
    <w:p>
      <w:pPr>
        <w:pStyle w:val="BodyText"/>
        <w:spacing w:line="249" w:lineRule="auto"/>
        <w:ind w:left="112" w:right="283" w:firstLine="9"/>
      </w:pPr>
      <w:r>
        <w:rPr>
          <w:b/>
          <w:color w:val="231F20"/>
        </w:rPr>
        <w:t>Kentucky Academic Standards (KAS): </w:t>
      </w:r>
      <w:r>
        <w:rPr>
          <w:color w:val="231F20"/>
        </w:rPr>
        <w:t>Contain the minimum required standards that all Kentucky students should have the opportunity to learn before graduating from Kentucky high schools. The standards address what is to be learned, but do not address how learning experiences are to be designed or what resources should be used. Helps ensure that all students throughout Kentucky are provided with common content and have opportunities to learn at high levels.</w:t>
      </w:r>
    </w:p>
    <w:p>
      <w:pPr>
        <w:pStyle w:val="BodyText"/>
        <w:spacing w:before="3"/>
        <w:rPr>
          <w:sz w:val="25"/>
        </w:rPr>
      </w:pPr>
    </w:p>
    <w:p>
      <w:pPr>
        <w:pStyle w:val="BodyText"/>
        <w:spacing w:line="247" w:lineRule="auto" w:before="1"/>
        <w:ind w:left="112" w:right="167" w:firstLine="9"/>
      </w:pPr>
      <w:r>
        <w:rPr>
          <w:b/>
          <w:color w:val="231F20"/>
        </w:rPr>
        <w:t>Learning progression</w:t>
      </w:r>
      <w:r>
        <w:rPr>
          <w:color w:val="231F20"/>
        </w:rPr>
        <w:t>: A learning progression is a description of the way in which typically developing students may develop and build academic competencies over time. Learning progressions can be useful tools for teachers to use to determine where a student is in the process of learning a specific skill or understanding a concept.</w:t>
      </w:r>
    </w:p>
    <w:p>
      <w:pPr>
        <w:pStyle w:val="BodyText"/>
        <w:spacing w:before="9"/>
        <w:rPr>
          <w:sz w:val="25"/>
        </w:rPr>
      </w:pPr>
    </w:p>
    <w:p>
      <w:pPr>
        <w:pStyle w:val="BodyText"/>
        <w:spacing w:line="247" w:lineRule="auto"/>
        <w:ind w:left="112" w:right="177" w:firstLine="9"/>
      </w:pPr>
      <w:r>
        <w:rPr>
          <w:b/>
          <w:color w:val="231F20"/>
        </w:rPr>
        <w:t>Learner Characteristics Inventory (LCI)</w:t>
      </w:r>
      <w:r>
        <w:rPr>
          <w:color w:val="231F20"/>
        </w:rPr>
        <w:t>: A questionnaire that assists the teacher in understanding the individuality of each student in various areas: expressive communication, receptive communication, hearing, vision, motor, engagement, attendance, reading skills and mathematics skills. The LCI has two primary purposes: 1) to describe the range of the characteristics of learners who participate in alternate assessments and to 2) describe the extent to which patterns of those characteristics emerged within and across the state.</w:t>
      </w:r>
    </w:p>
    <w:p>
      <w:pPr>
        <w:pStyle w:val="BodyText"/>
        <w:spacing w:before="8"/>
        <w:rPr>
          <w:sz w:val="25"/>
        </w:rPr>
      </w:pPr>
    </w:p>
    <w:p>
      <w:pPr>
        <w:pStyle w:val="BodyText"/>
        <w:spacing w:line="247" w:lineRule="auto" w:before="1"/>
        <w:ind w:left="112" w:right="207" w:firstLine="9"/>
      </w:pPr>
      <w:r>
        <w:rPr>
          <w:b/>
          <w:color w:val="231F20"/>
        </w:rPr>
        <w:t>Longitudinal data - </w:t>
      </w:r>
      <w:r>
        <w:rPr>
          <w:color w:val="231F20"/>
        </w:rPr>
        <w:t>Data that have been collected and analyzed overtime and are older than one year. A dataset is longitudinal if it tracks the same type of information on the same subjects at multiple points in time. Examples of longitudinal data include Social Developmental History, integrated assessment reports, diagnostic assessments, state and district-wide assessment results, adaptive behavior rating scales, progress monitoring data, functional behavior assessment data, transition assessment and technology evaluation.</w:t>
      </w:r>
    </w:p>
    <w:p>
      <w:pPr>
        <w:pStyle w:val="BodyText"/>
        <w:spacing w:before="7"/>
        <w:rPr>
          <w:sz w:val="25"/>
        </w:rPr>
      </w:pPr>
    </w:p>
    <w:p>
      <w:pPr>
        <w:pStyle w:val="BodyText"/>
        <w:spacing w:line="249" w:lineRule="auto"/>
        <w:ind w:left="112" w:right="110" w:firstLine="9"/>
      </w:pPr>
      <w:r>
        <w:rPr>
          <w:b/>
          <w:color w:val="231F20"/>
        </w:rPr>
        <w:t>Mode of communication: </w:t>
      </w:r>
      <w:r>
        <w:rPr>
          <w:color w:val="231F20"/>
        </w:rPr>
        <w:t>The predominant way a student expresses his or her thoughts, such as through words, pictures, objects, tactile cues and augmented communication/assistive technology.</w:t>
      </w:r>
    </w:p>
    <w:p>
      <w:pPr>
        <w:pStyle w:val="BodyText"/>
        <w:spacing w:before="6"/>
        <w:rPr>
          <w:sz w:val="25"/>
        </w:rPr>
      </w:pPr>
    </w:p>
    <w:p>
      <w:pPr>
        <w:pStyle w:val="BodyText"/>
        <w:spacing w:line="247" w:lineRule="auto"/>
        <w:ind w:left="112" w:right="95" w:firstLine="9"/>
      </w:pPr>
      <w:r>
        <w:rPr>
          <w:b/>
          <w:color w:val="231F20"/>
        </w:rPr>
        <w:t>Modification: </w:t>
      </w:r>
      <w:r>
        <w:rPr>
          <w:color w:val="231F20"/>
        </w:rPr>
        <w:t>A change in materials or procedures during instruction and assessment that changes the learning expectations of the grade level content. Modifications during instruction may be appropriate on a temporary basis for scaffolding the student’s understanding and skills. Assessment modifications result in invalid measures of a student’s knowledge and skills and thus should be avoided.</w:t>
      </w:r>
    </w:p>
    <w:p>
      <w:pPr>
        <w:spacing w:after="0" w:line="247" w:lineRule="auto"/>
        <w:sectPr>
          <w:pgSz w:w="12240" w:h="15840"/>
          <w:pgMar w:header="0" w:footer="984" w:top="1360" w:bottom="1180" w:left="1700" w:right="1320"/>
        </w:sectPr>
      </w:pPr>
    </w:p>
    <w:p>
      <w:pPr>
        <w:pStyle w:val="BodyText"/>
        <w:spacing w:before="11"/>
        <w:rPr>
          <w:sz w:val="11"/>
        </w:rPr>
      </w:pPr>
    </w:p>
    <w:p>
      <w:pPr>
        <w:pStyle w:val="BodyText"/>
        <w:spacing w:line="247" w:lineRule="auto" w:before="90"/>
        <w:ind w:left="112" w:right="377" w:firstLine="9"/>
      </w:pPr>
      <w:r>
        <w:rPr>
          <w:b/>
          <w:color w:val="231F20"/>
        </w:rPr>
        <w:t>(NCLB) No Child Left Behind </w:t>
      </w:r>
      <w:r>
        <w:rPr>
          <w:color w:val="231F20"/>
        </w:rPr>
        <w:t>– A federal law passed under the George W. Bush administration meant to hold primary and secondary schools measurably accountable to higher standards. NCLB is written so that it requires 100% of students (including special education students and those from disadvantaged background) within a school to reach the same set of state standards in math and reading by the year 2014. NCLB has been replaced by the Every Student Succeeds Act (ESSA).</w:t>
      </w:r>
    </w:p>
    <w:p>
      <w:pPr>
        <w:pStyle w:val="BodyText"/>
        <w:spacing w:before="9"/>
        <w:rPr>
          <w:sz w:val="25"/>
        </w:rPr>
      </w:pPr>
    </w:p>
    <w:p>
      <w:pPr>
        <w:pStyle w:val="BodyText"/>
        <w:spacing w:line="247" w:lineRule="auto"/>
        <w:ind w:left="112" w:right="329" w:firstLine="9"/>
      </w:pPr>
      <w:r>
        <w:rPr>
          <w:b/>
          <w:color w:val="231F20"/>
        </w:rPr>
        <w:t>Participation guidelines for alternate assessment </w:t>
      </w:r>
      <w:r>
        <w:rPr>
          <w:color w:val="231F20"/>
        </w:rPr>
        <w:t>– The Participation Guidelines for the Alternate K-PREP identify the requirements set by the state department of education for students with significant cognitive disabilities. These requirements must be agreed upon by the ARC committee and revisited at the annual meeting.</w:t>
      </w:r>
    </w:p>
    <w:p>
      <w:pPr>
        <w:pStyle w:val="BodyText"/>
        <w:spacing w:before="9"/>
        <w:rPr>
          <w:sz w:val="25"/>
        </w:rPr>
      </w:pPr>
    </w:p>
    <w:p>
      <w:pPr>
        <w:pStyle w:val="BodyText"/>
        <w:spacing w:line="247" w:lineRule="auto"/>
        <w:ind w:left="112" w:right="591" w:firstLine="9"/>
        <w:rPr>
          <w:sz w:val="16"/>
        </w:rPr>
      </w:pPr>
      <w:r>
        <w:rPr>
          <w:b/>
          <w:color w:val="414142"/>
        </w:rPr>
        <w:t>Participation criteria: </w:t>
      </w:r>
      <w:r>
        <w:rPr>
          <w:color w:val="414142"/>
        </w:rPr>
        <w:t>These descriptors provide further information about the characteristics students would have in order to meet the four participation criteria for the </w:t>
      </w:r>
      <w:r>
        <w:rPr>
          <w:color w:val="414142"/>
          <w:position w:val="2"/>
        </w:rPr>
        <w:t>Alternate Assessment</w:t>
      </w:r>
      <w:r>
        <w:rPr>
          <w:color w:val="414142"/>
          <w:sz w:val="16"/>
        </w:rPr>
        <w:t>.</w:t>
      </w:r>
    </w:p>
    <w:p>
      <w:pPr>
        <w:pStyle w:val="BodyText"/>
        <w:spacing w:before="6"/>
        <w:rPr>
          <w:sz w:val="25"/>
        </w:rPr>
      </w:pPr>
    </w:p>
    <w:p>
      <w:pPr>
        <w:pStyle w:val="BodyText"/>
        <w:spacing w:line="247" w:lineRule="auto"/>
        <w:ind w:left="112" w:right="535" w:firstLine="9"/>
      </w:pPr>
      <w:r>
        <w:rPr>
          <w:b/>
          <w:color w:val="231F20"/>
        </w:rPr>
        <w:t>Pervasive: </w:t>
      </w:r>
      <w:r>
        <w:rPr>
          <w:color w:val="231F20"/>
        </w:rPr>
        <w:t>Present across academic content areas and across multiple settings (including school, home and community).</w:t>
      </w:r>
    </w:p>
    <w:p>
      <w:pPr>
        <w:pStyle w:val="BodyText"/>
        <w:spacing w:before="8"/>
        <w:rPr>
          <w:sz w:val="25"/>
        </w:rPr>
      </w:pPr>
    </w:p>
    <w:p>
      <w:pPr>
        <w:pStyle w:val="BodyText"/>
        <w:spacing w:line="247" w:lineRule="auto"/>
        <w:ind w:left="112" w:right="339" w:firstLine="9"/>
      </w:pPr>
      <w:r>
        <w:rPr>
          <w:b/>
          <w:color w:val="231F20"/>
        </w:rPr>
        <w:t>(SDI) Specifically Designed Instruction </w:t>
      </w:r>
      <w:r>
        <w:rPr>
          <w:color w:val="231F20"/>
        </w:rPr>
        <w:t>– Adapting the content, methodology or delivery of instruction to address the individual needs of the child and to ensure access to the curriculum so that the child can meet the educational standards set in place.</w:t>
      </w:r>
    </w:p>
    <w:p>
      <w:pPr>
        <w:pStyle w:val="BodyText"/>
        <w:spacing w:before="6"/>
        <w:rPr>
          <w:sz w:val="25"/>
        </w:rPr>
      </w:pPr>
    </w:p>
    <w:p>
      <w:pPr>
        <w:pStyle w:val="BodyText"/>
        <w:spacing w:line="247" w:lineRule="auto"/>
        <w:ind w:left="112" w:right="494" w:firstLine="9"/>
      </w:pPr>
      <w:r>
        <w:rPr>
          <w:b/>
          <w:color w:val="414142"/>
        </w:rPr>
        <w:t>Selected response items</w:t>
      </w:r>
      <w:r>
        <w:rPr>
          <w:color w:val="414142"/>
        </w:rPr>
        <w:t>: Assessment items that are structured for students to respond by choosing an answer (e.g., multiple choice, true or false, etc.)</w:t>
      </w:r>
    </w:p>
    <w:p>
      <w:pPr>
        <w:pStyle w:val="BodyText"/>
        <w:spacing w:before="8"/>
        <w:rPr>
          <w:sz w:val="25"/>
        </w:rPr>
      </w:pPr>
    </w:p>
    <w:p>
      <w:pPr>
        <w:pStyle w:val="BodyText"/>
        <w:spacing w:line="247" w:lineRule="auto"/>
        <w:ind w:left="112" w:right="411" w:firstLine="9"/>
      </w:pPr>
      <w:r>
        <w:rPr>
          <w:b/>
          <w:color w:val="231F20"/>
        </w:rPr>
        <w:t>Substantial supports: </w:t>
      </w:r>
      <w:r>
        <w:rPr>
          <w:color w:val="231F20"/>
        </w:rPr>
        <w:t>Substantial supports include support from the teachers and others (e.g., resource teacher, co-teacher, aide) and various material supports within the student’s environment. Examples include adapting text for assessments and learning and extensive scaffolding of content to support learning.</w:t>
      </w:r>
    </w:p>
    <w:p>
      <w:pPr>
        <w:pStyle w:val="BodyText"/>
        <w:spacing w:before="8"/>
        <w:rPr>
          <w:sz w:val="25"/>
        </w:rPr>
      </w:pPr>
    </w:p>
    <w:p>
      <w:pPr>
        <w:pStyle w:val="BodyText"/>
        <w:spacing w:line="249" w:lineRule="auto"/>
        <w:ind w:left="112" w:right="133" w:firstLine="9"/>
      </w:pPr>
      <w:r>
        <w:rPr>
          <w:b/>
          <w:color w:val="231F20"/>
        </w:rPr>
        <w:t>Substantially adapted materials</w:t>
      </w:r>
      <w:r>
        <w:rPr>
          <w:color w:val="231F20"/>
        </w:rPr>
        <w:t>: Substantially adapted materials include various classroom and other materials that have been altered in appearance and content from the materials that peers without disabilities use for instruction or assessment. Examples include significantly shortening the length of passages or using raised dots and hand-over-hand counting when identifying a matching number in math.</w:t>
      </w:r>
    </w:p>
    <w:p>
      <w:pPr>
        <w:spacing w:after="0" w:line="249" w:lineRule="auto"/>
        <w:sectPr>
          <w:pgSz w:w="12240" w:h="15840"/>
          <w:pgMar w:header="0" w:footer="984" w:top="1500" w:bottom="1180" w:left="1700" w:right="1320"/>
        </w:sectPr>
      </w:pPr>
    </w:p>
    <w:p>
      <w:pPr>
        <w:pStyle w:val="Heading1"/>
        <w:spacing w:before="64"/>
        <w:ind w:left="2969"/>
        <w:rPr>
          <w:u w:val="none"/>
        </w:rPr>
      </w:pPr>
      <w:r>
        <w:rPr>
          <w:color w:val="231F20"/>
          <w:u w:val="none"/>
        </w:rPr>
        <w:t>Frequently Asked Questions</w:t>
      </w:r>
    </w:p>
    <w:p>
      <w:pPr>
        <w:pStyle w:val="BodyText"/>
        <w:spacing w:before="1"/>
        <w:rPr>
          <w:b/>
          <w:sz w:val="30"/>
        </w:rPr>
      </w:pPr>
    </w:p>
    <w:p>
      <w:pPr>
        <w:spacing w:before="0"/>
        <w:ind w:left="122" w:right="0" w:firstLine="0"/>
        <w:jc w:val="left"/>
        <w:rPr>
          <w:b/>
          <w:sz w:val="24"/>
        </w:rPr>
      </w:pPr>
      <w:r>
        <w:rPr>
          <w:b/>
          <w:color w:val="231F20"/>
          <w:sz w:val="24"/>
          <w:u w:val="thick" w:color="231F20"/>
        </w:rPr>
        <w:t>QUESTION:</w:t>
      </w:r>
    </w:p>
    <w:p>
      <w:pPr>
        <w:pStyle w:val="BodyText"/>
        <w:spacing w:before="2"/>
        <w:ind w:left="122"/>
      </w:pPr>
      <w:r>
        <w:rPr>
          <w:color w:val="231F20"/>
        </w:rPr>
        <w:t>What is the Alternate K-PREP?</w:t>
      </w:r>
    </w:p>
    <w:p>
      <w:pPr>
        <w:pStyle w:val="BodyText"/>
        <w:spacing w:before="10"/>
        <w:rPr>
          <w:sz w:val="32"/>
        </w:rPr>
      </w:pPr>
    </w:p>
    <w:p>
      <w:pPr>
        <w:pStyle w:val="Heading1"/>
        <w:spacing w:before="1"/>
        <w:rPr>
          <w:u w:val="none"/>
        </w:rPr>
      </w:pPr>
      <w:r>
        <w:rPr>
          <w:color w:val="231F20"/>
          <w:u w:val="thick" w:color="231F20"/>
        </w:rPr>
        <w:t>ANSWER:</w:t>
      </w:r>
    </w:p>
    <w:p>
      <w:pPr>
        <w:pStyle w:val="BodyText"/>
        <w:spacing w:line="247" w:lineRule="auto" w:before="5"/>
        <w:ind w:left="112" w:right="143" w:firstLine="9"/>
      </w:pPr>
      <w:r>
        <w:rPr>
          <w:color w:val="231F20"/>
        </w:rPr>
        <w:t>The Alternate K-PREP (Kentucky Performance Rating for Educational Progress) serves students with the most significant cognitive disabilities. These disabilities may require an alternate means of participation in Kentucky’s statewide assessment to demonstrate achievement. The Alternate Assessment is designed to address the needs of the students by allowing greater depth of adaptations, modifications and alternative modes of participation for the state assessment.</w:t>
      </w:r>
    </w:p>
    <w:p>
      <w:pPr>
        <w:pStyle w:val="BodyText"/>
        <w:spacing w:before="5"/>
        <w:rPr>
          <w:sz w:val="30"/>
        </w:rPr>
      </w:pPr>
    </w:p>
    <w:p>
      <w:pPr>
        <w:pStyle w:val="Heading1"/>
        <w:rPr>
          <w:u w:val="none"/>
        </w:rPr>
      </w:pPr>
      <w:r>
        <w:rPr>
          <w:color w:val="231F20"/>
          <w:u w:val="thick" w:color="231F20"/>
        </w:rPr>
        <w:t>MORE INFORMATION:</w:t>
      </w:r>
    </w:p>
    <w:p>
      <w:pPr>
        <w:pStyle w:val="BodyText"/>
        <w:spacing w:before="2"/>
        <w:ind w:left="122"/>
      </w:pPr>
      <w:r>
        <w:rPr>
          <w:color w:val="231F20"/>
          <w:u w:val="single" w:color="231F20"/>
        </w:rPr>
        <w:t>Alternate K-Prep link</w:t>
      </w:r>
    </w:p>
    <w:p>
      <w:pPr>
        <w:pStyle w:val="BodyText"/>
        <w:spacing w:before="3"/>
        <w:rPr>
          <w:sz w:val="23"/>
        </w:rPr>
      </w:pPr>
    </w:p>
    <w:p>
      <w:pPr>
        <w:pStyle w:val="Heading1"/>
        <w:spacing w:before="90"/>
        <w:rPr>
          <w:u w:val="none"/>
        </w:rPr>
      </w:pPr>
      <w:r>
        <w:rPr>
          <w:color w:val="231F20"/>
          <w:u w:val="thick" w:color="231F20"/>
        </w:rPr>
        <w:t>QUESTION:</w:t>
      </w:r>
    </w:p>
    <w:p>
      <w:pPr>
        <w:pStyle w:val="BodyText"/>
        <w:spacing w:before="4"/>
        <w:ind w:left="122"/>
      </w:pPr>
      <w:r>
        <w:rPr>
          <w:color w:val="231F20"/>
        </w:rPr>
        <w:t>Who is assessed?</w:t>
      </w:r>
    </w:p>
    <w:p>
      <w:pPr>
        <w:pStyle w:val="BodyText"/>
        <w:spacing w:before="11"/>
        <w:rPr>
          <w:sz w:val="29"/>
        </w:rPr>
      </w:pPr>
    </w:p>
    <w:p>
      <w:pPr>
        <w:pStyle w:val="Heading1"/>
        <w:rPr>
          <w:u w:val="none"/>
        </w:rPr>
      </w:pPr>
      <w:r>
        <w:rPr>
          <w:color w:val="231F20"/>
          <w:u w:val="thick" w:color="231F20"/>
        </w:rPr>
        <w:t>ANSWER:</w:t>
      </w:r>
    </w:p>
    <w:p>
      <w:pPr>
        <w:pStyle w:val="BodyText"/>
        <w:spacing w:line="247" w:lineRule="auto" w:before="2"/>
        <w:ind w:left="112" w:right="236" w:firstLine="9"/>
      </w:pPr>
      <w:r>
        <w:rPr>
          <w:color w:val="231F20"/>
        </w:rPr>
        <w:t>College - and/or Career - Ready for All assesses every student in grades 3 through 8 with a combined Norm Referenced/Criterion Referenced Test. Students in grades 9 through 12 complete End –of- Course assessments for specific content areas in Kentucky’s public schools. Students are tested on specific standards at various grade levels. Students identified with educational disabilities are also assessed. Some students with disabilities will take the assessment without accommodations, some with accommodations and some (with a significant cognitive disability) through an alternate assessment process.</w:t>
      </w:r>
    </w:p>
    <w:p>
      <w:pPr>
        <w:pStyle w:val="BodyText"/>
        <w:spacing w:before="4"/>
        <w:rPr>
          <w:sz w:val="29"/>
        </w:rPr>
      </w:pPr>
    </w:p>
    <w:p>
      <w:pPr>
        <w:pStyle w:val="Heading1"/>
        <w:rPr>
          <w:u w:val="none"/>
        </w:rPr>
      </w:pPr>
      <w:r>
        <w:rPr>
          <w:color w:val="231F20"/>
          <w:u w:val="thick" w:color="231F20"/>
        </w:rPr>
        <w:t>MORE INFORMATION:</w:t>
      </w:r>
    </w:p>
    <w:p>
      <w:pPr>
        <w:pStyle w:val="BodyText"/>
        <w:spacing w:line="249" w:lineRule="auto" w:before="2"/>
        <w:ind w:left="112" w:right="573" w:firstLine="9"/>
        <w:jc w:val="both"/>
      </w:pPr>
      <w:r>
        <w:rPr>
          <w:color w:val="231F20"/>
        </w:rPr>
        <w:t>You may find out more about what is specifically tested at each grade level for Alternate Assessment students by going to the </w:t>
      </w:r>
      <w:r>
        <w:rPr>
          <w:color w:val="231F20"/>
          <w:u w:val="single" w:color="231F20"/>
        </w:rPr>
        <w:t>Alternate K-Prep Resources page </w:t>
      </w:r>
      <w:r>
        <w:rPr>
          <w:color w:val="231F20"/>
        </w:rPr>
        <w:t>or call (502) 564- 4394.</w:t>
      </w:r>
    </w:p>
    <w:p>
      <w:pPr>
        <w:pStyle w:val="BodyText"/>
        <w:spacing w:before="1"/>
        <w:rPr>
          <w:sz w:val="29"/>
        </w:rPr>
      </w:pPr>
    </w:p>
    <w:p>
      <w:pPr>
        <w:pStyle w:val="Heading1"/>
        <w:rPr>
          <w:u w:val="none"/>
        </w:rPr>
      </w:pPr>
      <w:r>
        <w:rPr>
          <w:color w:val="231F20"/>
          <w:u w:val="thick" w:color="231F20"/>
        </w:rPr>
        <w:t>QUESTION:</w:t>
      </w:r>
    </w:p>
    <w:p>
      <w:pPr>
        <w:pStyle w:val="BodyText"/>
        <w:spacing w:before="2"/>
        <w:ind w:left="122"/>
      </w:pPr>
      <w:r>
        <w:rPr>
          <w:color w:val="231F20"/>
        </w:rPr>
        <w:t>What grade levels are tested on the Alternate K-PREP? How is it represented?</w:t>
      </w:r>
    </w:p>
    <w:p>
      <w:pPr>
        <w:pStyle w:val="BodyText"/>
        <w:spacing w:before="1"/>
        <w:rPr>
          <w:sz w:val="30"/>
        </w:rPr>
      </w:pPr>
    </w:p>
    <w:p>
      <w:pPr>
        <w:pStyle w:val="Heading1"/>
        <w:rPr>
          <w:u w:val="none"/>
        </w:rPr>
      </w:pPr>
      <w:r>
        <w:rPr>
          <w:color w:val="231F20"/>
          <w:u w:val="thick" w:color="231F20"/>
        </w:rPr>
        <w:t> ANSWER:</w:t>
      </w:r>
    </w:p>
    <w:p>
      <w:pPr>
        <w:pStyle w:val="BodyText"/>
        <w:spacing w:before="4"/>
        <w:ind w:left="122"/>
      </w:pPr>
      <w:r>
        <w:rPr>
          <w:color w:val="231F20"/>
        </w:rPr>
        <w:t>The Alternate Assessment has two major components:</w:t>
      </w:r>
    </w:p>
    <w:p>
      <w:pPr>
        <w:pStyle w:val="BodyText"/>
        <w:spacing w:before="8"/>
        <w:rPr>
          <w:sz w:val="27"/>
        </w:rPr>
      </w:pPr>
    </w:p>
    <w:p>
      <w:pPr>
        <w:pStyle w:val="ListParagraph"/>
        <w:numPr>
          <w:ilvl w:val="0"/>
          <w:numId w:val="1"/>
        </w:numPr>
        <w:tabs>
          <w:tab w:pos="842" w:val="left" w:leader="none"/>
        </w:tabs>
        <w:spacing w:line="247" w:lineRule="auto" w:before="0" w:after="0"/>
        <w:ind w:left="842" w:right="253" w:hanging="360"/>
        <w:jc w:val="left"/>
        <w:rPr>
          <w:sz w:val="24"/>
        </w:rPr>
      </w:pPr>
      <w:r>
        <w:rPr>
          <w:color w:val="231F20"/>
          <w:sz w:val="24"/>
        </w:rPr>
        <w:t>Attainment</w:t>
      </w:r>
      <w:r>
        <w:rPr>
          <w:color w:val="231F20"/>
          <w:spacing w:val="-6"/>
          <w:sz w:val="24"/>
        </w:rPr>
        <w:t> </w:t>
      </w:r>
      <w:r>
        <w:rPr>
          <w:color w:val="231F20"/>
          <w:sz w:val="24"/>
        </w:rPr>
        <w:t>Tasks</w:t>
      </w:r>
      <w:r>
        <w:rPr>
          <w:color w:val="231F20"/>
          <w:spacing w:val="-7"/>
          <w:sz w:val="24"/>
        </w:rPr>
        <w:t> </w:t>
      </w:r>
      <w:r>
        <w:rPr>
          <w:color w:val="231F20"/>
          <w:sz w:val="24"/>
        </w:rPr>
        <w:t>which</w:t>
      </w:r>
      <w:r>
        <w:rPr>
          <w:color w:val="231F20"/>
          <w:spacing w:val="-5"/>
          <w:sz w:val="24"/>
        </w:rPr>
        <w:t> </w:t>
      </w:r>
      <w:r>
        <w:rPr>
          <w:color w:val="231F20"/>
          <w:sz w:val="24"/>
        </w:rPr>
        <w:t>measure</w:t>
      </w:r>
      <w:r>
        <w:rPr>
          <w:color w:val="231F20"/>
          <w:spacing w:val="-8"/>
          <w:sz w:val="24"/>
        </w:rPr>
        <w:t> </w:t>
      </w:r>
      <w:r>
        <w:rPr>
          <w:color w:val="231F20"/>
          <w:sz w:val="24"/>
        </w:rPr>
        <w:t>the</w:t>
      </w:r>
      <w:r>
        <w:rPr>
          <w:color w:val="231F20"/>
          <w:spacing w:val="-7"/>
          <w:sz w:val="24"/>
        </w:rPr>
        <w:t> </w:t>
      </w:r>
      <w:r>
        <w:rPr>
          <w:color w:val="231F20"/>
          <w:sz w:val="24"/>
        </w:rPr>
        <w:t>student’s</w:t>
      </w:r>
      <w:r>
        <w:rPr>
          <w:color w:val="231F20"/>
          <w:spacing w:val="-7"/>
          <w:sz w:val="24"/>
        </w:rPr>
        <w:t> </w:t>
      </w:r>
      <w:r>
        <w:rPr>
          <w:color w:val="231F20"/>
          <w:sz w:val="24"/>
        </w:rPr>
        <w:t>performance</w:t>
      </w:r>
      <w:r>
        <w:rPr>
          <w:color w:val="231F20"/>
          <w:spacing w:val="-7"/>
          <w:sz w:val="24"/>
        </w:rPr>
        <w:t> </w:t>
      </w:r>
      <w:r>
        <w:rPr>
          <w:color w:val="231F20"/>
          <w:sz w:val="24"/>
        </w:rPr>
        <w:t>on</w:t>
      </w:r>
      <w:r>
        <w:rPr>
          <w:color w:val="231F20"/>
          <w:spacing w:val="-7"/>
          <w:sz w:val="24"/>
        </w:rPr>
        <w:t> </w:t>
      </w:r>
      <w:r>
        <w:rPr>
          <w:color w:val="231F20"/>
          <w:sz w:val="24"/>
        </w:rPr>
        <w:t>completing</w:t>
      </w:r>
      <w:r>
        <w:rPr>
          <w:color w:val="231F20"/>
          <w:spacing w:val="-7"/>
          <w:sz w:val="24"/>
        </w:rPr>
        <w:t> </w:t>
      </w:r>
      <w:r>
        <w:rPr>
          <w:color w:val="231F20"/>
          <w:sz w:val="24"/>
        </w:rPr>
        <w:t>specified tasks/activities.  Students will be assessed</w:t>
      </w:r>
      <w:r>
        <w:rPr>
          <w:color w:val="231F20"/>
          <w:spacing w:val="-7"/>
          <w:sz w:val="24"/>
        </w:rPr>
        <w:t> </w:t>
      </w:r>
      <w:r>
        <w:rPr>
          <w:color w:val="231F20"/>
          <w:sz w:val="24"/>
        </w:rPr>
        <w:t>in:</w:t>
      </w:r>
    </w:p>
    <w:p>
      <w:pPr>
        <w:pStyle w:val="BodyText"/>
        <w:spacing w:before="6"/>
        <w:ind w:left="842"/>
      </w:pPr>
      <w:r>
        <w:rPr>
          <w:color w:val="231F20"/>
        </w:rPr>
        <w:t>Reading - Grades 3-8 and 9</w:t>
      </w:r>
    </w:p>
    <w:p>
      <w:pPr>
        <w:pStyle w:val="BodyText"/>
        <w:spacing w:before="14"/>
        <w:ind w:left="842"/>
      </w:pPr>
      <w:r>
        <w:rPr>
          <w:color w:val="231F20"/>
        </w:rPr>
        <w:t>Mathematics - Grades 3-8 and 10</w:t>
      </w:r>
    </w:p>
    <w:p>
      <w:pPr>
        <w:spacing w:after="0"/>
        <w:sectPr>
          <w:pgSz w:w="12240" w:h="15840"/>
          <w:pgMar w:header="0" w:footer="984" w:top="1380" w:bottom="1180" w:left="1700" w:right="1320"/>
        </w:sectPr>
      </w:pPr>
    </w:p>
    <w:p>
      <w:pPr>
        <w:pStyle w:val="BodyText"/>
        <w:spacing w:line="252" w:lineRule="auto" w:before="76"/>
        <w:ind w:left="842" w:right="5345"/>
      </w:pPr>
      <w:r>
        <w:rPr>
          <w:color w:val="231F20"/>
        </w:rPr>
        <w:t>Science - Grades 4, 7 and 11 Social Studies - Grades 5 and 8 Writing - Grades 5, 8 and 11</w:t>
      </w:r>
    </w:p>
    <w:p>
      <w:pPr>
        <w:pStyle w:val="BodyText"/>
        <w:rPr>
          <w:sz w:val="26"/>
        </w:rPr>
      </w:pPr>
    </w:p>
    <w:p>
      <w:pPr>
        <w:pStyle w:val="BodyText"/>
        <w:spacing w:before="6"/>
      </w:pPr>
    </w:p>
    <w:p>
      <w:pPr>
        <w:pStyle w:val="ListParagraph"/>
        <w:numPr>
          <w:ilvl w:val="0"/>
          <w:numId w:val="1"/>
        </w:numPr>
        <w:tabs>
          <w:tab w:pos="842" w:val="left" w:leader="none"/>
        </w:tabs>
        <w:spacing w:line="247" w:lineRule="auto" w:before="0" w:after="0"/>
        <w:ind w:left="842" w:right="607" w:hanging="360"/>
        <w:jc w:val="left"/>
        <w:rPr>
          <w:sz w:val="24"/>
        </w:rPr>
      </w:pPr>
      <w:r>
        <w:rPr>
          <w:color w:val="231F20"/>
          <w:sz w:val="24"/>
        </w:rPr>
        <w:t>Transition</w:t>
      </w:r>
      <w:r>
        <w:rPr>
          <w:color w:val="231F20"/>
          <w:spacing w:val="-7"/>
          <w:sz w:val="24"/>
        </w:rPr>
        <w:t> </w:t>
      </w:r>
      <w:r>
        <w:rPr>
          <w:color w:val="231F20"/>
          <w:sz w:val="24"/>
        </w:rPr>
        <w:t>Attainment</w:t>
      </w:r>
      <w:r>
        <w:rPr>
          <w:color w:val="231F20"/>
          <w:spacing w:val="-6"/>
          <w:sz w:val="24"/>
        </w:rPr>
        <w:t> </w:t>
      </w:r>
      <w:r>
        <w:rPr>
          <w:color w:val="231F20"/>
          <w:sz w:val="24"/>
        </w:rPr>
        <w:t>Record</w:t>
      </w:r>
      <w:r>
        <w:rPr>
          <w:color w:val="231F20"/>
          <w:spacing w:val="-7"/>
          <w:sz w:val="24"/>
        </w:rPr>
        <w:t> </w:t>
      </w:r>
      <w:r>
        <w:rPr>
          <w:color w:val="231F20"/>
          <w:sz w:val="24"/>
        </w:rPr>
        <w:t>which</w:t>
      </w:r>
      <w:r>
        <w:rPr>
          <w:color w:val="231F20"/>
          <w:spacing w:val="-7"/>
          <w:sz w:val="24"/>
        </w:rPr>
        <w:t> </w:t>
      </w:r>
      <w:r>
        <w:rPr>
          <w:color w:val="231F20"/>
          <w:sz w:val="24"/>
        </w:rPr>
        <w:t>measures</w:t>
      </w:r>
      <w:r>
        <w:rPr>
          <w:color w:val="231F20"/>
          <w:spacing w:val="-7"/>
          <w:sz w:val="24"/>
        </w:rPr>
        <w:t> </w:t>
      </w:r>
      <w:r>
        <w:rPr>
          <w:color w:val="231F20"/>
          <w:sz w:val="24"/>
        </w:rPr>
        <w:t>student</w:t>
      </w:r>
      <w:r>
        <w:rPr>
          <w:color w:val="231F20"/>
          <w:spacing w:val="-7"/>
          <w:sz w:val="24"/>
        </w:rPr>
        <w:t> </w:t>
      </w:r>
      <w:r>
        <w:rPr>
          <w:color w:val="231F20"/>
          <w:sz w:val="24"/>
        </w:rPr>
        <w:t>performance</w:t>
      </w:r>
      <w:r>
        <w:rPr>
          <w:color w:val="231F20"/>
          <w:spacing w:val="-7"/>
          <w:sz w:val="24"/>
        </w:rPr>
        <w:t> </w:t>
      </w:r>
      <w:r>
        <w:rPr>
          <w:color w:val="231F20"/>
          <w:sz w:val="24"/>
        </w:rPr>
        <w:t>on</w:t>
      </w:r>
      <w:r>
        <w:rPr>
          <w:color w:val="231F20"/>
          <w:spacing w:val="-5"/>
          <w:sz w:val="24"/>
        </w:rPr>
        <w:t> </w:t>
      </w:r>
      <w:r>
        <w:rPr>
          <w:color w:val="231F20"/>
          <w:sz w:val="24"/>
        </w:rPr>
        <w:t>academic skills needed for transition. This is completed by the Admissions and Release Committee members (ARC): Students will be assessed in: reading, (English and reading</w:t>
      </w:r>
      <w:r>
        <w:rPr>
          <w:color w:val="231F20"/>
          <w:spacing w:val="-8"/>
          <w:sz w:val="24"/>
        </w:rPr>
        <w:t> </w:t>
      </w:r>
      <w:r>
        <w:rPr>
          <w:color w:val="231F20"/>
          <w:sz w:val="24"/>
        </w:rPr>
        <w:t>combined)</w:t>
      </w:r>
      <w:r>
        <w:rPr>
          <w:color w:val="231F20"/>
          <w:spacing w:val="-6"/>
          <w:sz w:val="24"/>
        </w:rPr>
        <w:t> </w:t>
      </w:r>
      <w:r>
        <w:rPr>
          <w:color w:val="231F20"/>
          <w:sz w:val="24"/>
        </w:rPr>
        <w:t>mathematics</w:t>
      </w:r>
      <w:r>
        <w:rPr>
          <w:color w:val="231F20"/>
          <w:spacing w:val="-6"/>
          <w:sz w:val="24"/>
        </w:rPr>
        <w:t> </w:t>
      </w:r>
      <w:r>
        <w:rPr>
          <w:color w:val="231F20"/>
          <w:sz w:val="24"/>
        </w:rPr>
        <w:t>and</w:t>
      </w:r>
      <w:r>
        <w:rPr>
          <w:color w:val="231F20"/>
          <w:spacing w:val="-6"/>
          <w:sz w:val="24"/>
        </w:rPr>
        <w:t> </w:t>
      </w:r>
      <w:r>
        <w:rPr>
          <w:color w:val="231F20"/>
          <w:sz w:val="24"/>
        </w:rPr>
        <w:t>science</w:t>
      </w:r>
      <w:r>
        <w:rPr>
          <w:color w:val="231F20"/>
          <w:spacing w:val="-5"/>
          <w:sz w:val="24"/>
        </w:rPr>
        <w:t> </w:t>
      </w:r>
      <w:r>
        <w:rPr>
          <w:color w:val="231F20"/>
          <w:sz w:val="24"/>
        </w:rPr>
        <w:t>readiness</w:t>
      </w:r>
      <w:r>
        <w:rPr>
          <w:color w:val="231F20"/>
          <w:spacing w:val="-6"/>
          <w:sz w:val="24"/>
        </w:rPr>
        <w:t> </w:t>
      </w:r>
      <w:r>
        <w:rPr>
          <w:color w:val="231F20"/>
          <w:sz w:val="24"/>
        </w:rPr>
        <w:t>at</w:t>
      </w:r>
      <w:r>
        <w:rPr>
          <w:color w:val="231F20"/>
          <w:spacing w:val="-6"/>
          <w:sz w:val="24"/>
        </w:rPr>
        <w:t> </w:t>
      </w:r>
      <w:r>
        <w:rPr>
          <w:color w:val="231F20"/>
          <w:sz w:val="24"/>
        </w:rPr>
        <w:t>grade</w:t>
      </w:r>
      <w:r>
        <w:rPr>
          <w:color w:val="231F20"/>
          <w:spacing w:val="-3"/>
          <w:sz w:val="24"/>
        </w:rPr>
        <w:t> </w:t>
      </w:r>
      <w:r>
        <w:rPr>
          <w:color w:val="231F20"/>
          <w:sz w:val="24"/>
        </w:rPr>
        <w:t>11.</w:t>
      </w:r>
    </w:p>
    <w:p>
      <w:pPr>
        <w:pStyle w:val="BodyText"/>
        <w:spacing w:before="3"/>
        <w:rPr>
          <w:sz w:val="32"/>
        </w:rPr>
      </w:pPr>
    </w:p>
    <w:p>
      <w:pPr>
        <w:pStyle w:val="Heading1"/>
        <w:rPr>
          <w:u w:val="none"/>
        </w:rPr>
      </w:pPr>
      <w:r>
        <w:rPr>
          <w:color w:val="231F20"/>
          <w:u w:val="thick" w:color="231F20"/>
        </w:rPr>
        <w:t>QUESTION:</w:t>
      </w:r>
    </w:p>
    <w:p>
      <w:pPr>
        <w:pStyle w:val="BodyText"/>
        <w:spacing w:before="2"/>
        <w:ind w:left="122"/>
      </w:pPr>
      <w:r>
        <w:rPr>
          <w:color w:val="231F20"/>
        </w:rPr>
        <w:t>Who decides if my child will participate in an Alternate Assessment?</w:t>
      </w:r>
    </w:p>
    <w:p>
      <w:pPr>
        <w:pStyle w:val="BodyText"/>
        <w:spacing w:before="1"/>
        <w:rPr>
          <w:sz w:val="31"/>
        </w:rPr>
      </w:pPr>
    </w:p>
    <w:p>
      <w:pPr>
        <w:pStyle w:val="Heading1"/>
        <w:rPr>
          <w:u w:val="none"/>
        </w:rPr>
      </w:pPr>
      <w:r>
        <w:rPr>
          <w:color w:val="231F20"/>
          <w:u w:val="thick" w:color="231F20"/>
        </w:rPr>
        <w:t>ANSWER:</w:t>
      </w:r>
    </w:p>
    <w:p>
      <w:pPr>
        <w:pStyle w:val="BodyText"/>
        <w:spacing w:line="247" w:lineRule="auto" w:before="4"/>
        <w:ind w:left="112" w:right="143" w:firstLine="9"/>
      </w:pPr>
      <w:r>
        <w:rPr>
          <w:color w:val="231F20"/>
        </w:rPr>
        <w:t>An Admissions and Release Committee (ARC) makes decisions about the educational program and placement for students with disabilities. The ARC will also determine how students with disabilities participate in state and district assessments. The ARC determines if a student will participate in the state wide assessment with accommodations, without accommodations or if they need to be assessed through the Alternate Assessment.</w:t>
      </w:r>
    </w:p>
    <w:p>
      <w:pPr>
        <w:pStyle w:val="BodyText"/>
        <w:spacing w:before="4"/>
        <w:rPr>
          <w:sz w:val="30"/>
        </w:rPr>
      </w:pPr>
    </w:p>
    <w:p>
      <w:pPr>
        <w:pStyle w:val="Heading1"/>
        <w:rPr>
          <w:u w:val="none"/>
        </w:rPr>
      </w:pPr>
      <w:r>
        <w:rPr>
          <w:color w:val="231F20"/>
          <w:u w:val="thick" w:color="231F20"/>
        </w:rPr>
        <w:t>QUESTION:</w:t>
      </w:r>
    </w:p>
    <w:p>
      <w:pPr>
        <w:pStyle w:val="BodyText"/>
        <w:spacing w:before="4"/>
        <w:ind w:left="122"/>
      </w:pPr>
      <w:r>
        <w:rPr>
          <w:color w:val="231F20"/>
        </w:rPr>
        <w:t>How is the decision made by the ARC?</w:t>
      </w:r>
    </w:p>
    <w:p>
      <w:pPr>
        <w:pStyle w:val="BodyText"/>
        <w:rPr>
          <w:sz w:val="31"/>
        </w:rPr>
      </w:pPr>
    </w:p>
    <w:p>
      <w:pPr>
        <w:pStyle w:val="Heading1"/>
        <w:spacing w:before="1"/>
        <w:rPr>
          <w:u w:val="none"/>
        </w:rPr>
      </w:pPr>
      <w:r>
        <w:rPr>
          <w:color w:val="231F20"/>
          <w:u w:val="thick" w:color="231F20"/>
        </w:rPr>
        <w:t>ANSWER:</w:t>
      </w:r>
    </w:p>
    <w:p>
      <w:pPr>
        <w:pStyle w:val="BodyText"/>
        <w:spacing w:line="247" w:lineRule="auto" w:before="2"/>
        <w:ind w:left="112" w:right="233" w:firstLine="9"/>
      </w:pPr>
      <w:r>
        <w:rPr>
          <w:color w:val="231F20"/>
        </w:rPr>
        <w:t>Using the Participation Guidelines for Alternate Assessment, the ARC will analyze student information, including on-going progress data specific to the student’s present level of performance. The Participation Guidelines contain participation criteria that describe specific learning aspects and characteristics. The ARC must discuss and agree to a “yes” answer and provide required documentation for each criteria from the Participation Guidelines in order to determine if the student is eligible for participation in the Alternate Assessment. The ARC must have specific data to evidence and support answering “yes” to each statement, including, but not limited to: an integrated psycho-educational report, adaptive behavior rating scales, curriculum assessments, diagnostic assessments, progress monitoring and student work.</w:t>
      </w:r>
    </w:p>
    <w:p>
      <w:pPr>
        <w:pStyle w:val="BodyText"/>
        <w:spacing w:before="4"/>
        <w:rPr>
          <w:sz w:val="30"/>
        </w:rPr>
      </w:pPr>
    </w:p>
    <w:p>
      <w:pPr>
        <w:pStyle w:val="Heading1"/>
        <w:spacing w:before="1"/>
        <w:rPr>
          <w:u w:val="none"/>
        </w:rPr>
      </w:pPr>
      <w:r>
        <w:rPr>
          <w:color w:val="231F20"/>
          <w:u w:val="thick" w:color="231F20"/>
        </w:rPr>
        <w:t>QUESTION:</w:t>
      </w:r>
    </w:p>
    <w:p>
      <w:pPr>
        <w:pStyle w:val="BodyText"/>
        <w:spacing w:before="2"/>
        <w:ind w:left="122"/>
      </w:pPr>
      <w:r>
        <w:rPr>
          <w:color w:val="231F20"/>
        </w:rPr>
        <w:t>When does the ARC make the decision?</w:t>
      </w:r>
    </w:p>
    <w:p>
      <w:pPr>
        <w:pStyle w:val="BodyText"/>
        <w:rPr>
          <w:sz w:val="31"/>
        </w:rPr>
      </w:pPr>
    </w:p>
    <w:p>
      <w:pPr>
        <w:pStyle w:val="Heading1"/>
        <w:rPr>
          <w:u w:val="none"/>
        </w:rPr>
      </w:pPr>
      <w:r>
        <w:rPr>
          <w:color w:val="231F20"/>
          <w:u w:val="thick" w:color="231F20"/>
        </w:rPr>
        <w:t>ANSWER:</w:t>
      </w:r>
    </w:p>
    <w:p>
      <w:pPr>
        <w:pStyle w:val="BodyText"/>
        <w:spacing w:line="247" w:lineRule="auto" w:before="4"/>
        <w:ind w:left="112" w:right="314" w:firstLine="9"/>
      </w:pPr>
      <w:r>
        <w:rPr>
          <w:color w:val="231F20"/>
        </w:rPr>
        <w:t>The ARC meets at least annually to review the student’s educational program by reviewing and revising the student’s IEP and determines how the student will participate in the Kentucky state wide assessment. Using the Participation Guidelines, the ARC must review and re-determine Alternate Assessment participation.</w:t>
      </w:r>
    </w:p>
    <w:p>
      <w:pPr>
        <w:spacing w:after="0" w:line="247" w:lineRule="auto"/>
        <w:sectPr>
          <w:pgSz w:w="12240" w:h="15840"/>
          <w:pgMar w:header="0" w:footer="984" w:top="1360" w:bottom="1180" w:left="1700" w:right="1320"/>
        </w:sectPr>
      </w:pPr>
    </w:p>
    <w:p>
      <w:pPr>
        <w:pStyle w:val="BodyText"/>
        <w:spacing w:before="6"/>
        <w:rPr>
          <w:sz w:val="16"/>
        </w:rPr>
      </w:pPr>
    </w:p>
    <w:p>
      <w:pPr>
        <w:pStyle w:val="Heading1"/>
        <w:spacing w:before="90"/>
        <w:rPr>
          <w:u w:val="none"/>
        </w:rPr>
      </w:pPr>
      <w:r>
        <w:rPr>
          <w:color w:val="231F20"/>
          <w:u w:val="thick" w:color="231F20"/>
        </w:rPr>
        <w:t> QUESTION:</w:t>
      </w:r>
    </w:p>
    <w:p>
      <w:pPr>
        <w:pStyle w:val="BodyText"/>
        <w:spacing w:line="247" w:lineRule="auto" w:before="2"/>
        <w:ind w:left="112" w:right="354" w:firstLine="9"/>
      </w:pPr>
      <w:r>
        <w:rPr>
          <w:color w:val="231F20"/>
        </w:rPr>
        <w:t>Once an ARC determines a student is eligible to participate in the Alternate Assessment, is the decision final?</w:t>
      </w:r>
    </w:p>
    <w:p>
      <w:pPr>
        <w:pStyle w:val="BodyText"/>
        <w:spacing w:before="4"/>
        <w:rPr>
          <w:sz w:val="30"/>
        </w:rPr>
      </w:pPr>
    </w:p>
    <w:p>
      <w:pPr>
        <w:pStyle w:val="Heading1"/>
        <w:rPr>
          <w:u w:val="none"/>
        </w:rPr>
      </w:pPr>
      <w:r>
        <w:rPr>
          <w:color w:val="231F20"/>
          <w:u w:val="thick" w:color="231F20"/>
        </w:rPr>
        <w:t>ANSWER:</w:t>
      </w:r>
    </w:p>
    <w:p>
      <w:pPr>
        <w:pStyle w:val="BodyText"/>
        <w:spacing w:line="247" w:lineRule="auto" w:before="4"/>
        <w:ind w:left="112" w:right="223" w:firstLine="9"/>
      </w:pPr>
      <w:r>
        <w:rPr>
          <w:color w:val="231F20"/>
        </w:rPr>
        <w:t>Based upon current data at the time of the ARC, a student may initially be determined to participate in the Alternate Assessment, however, if new data or changes with a student occur, an ARC may reconvene and determine that a student is no longer eligible for participation in the Alternate Assessment. An annual meeting held by the ARC should make that decision on a year to year basis.</w:t>
      </w:r>
    </w:p>
    <w:p>
      <w:pPr>
        <w:pStyle w:val="BodyText"/>
        <w:spacing w:before="5"/>
        <w:rPr>
          <w:sz w:val="30"/>
        </w:rPr>
      </w:pPr>
    </w:p>
    <w:p>
      <w:pPr>
        <w:pStyle w:val="Heading1"/>
        <w:rPr>
          <w:u w:val="none"/>
        </w:rPr>
      </w:pPr>
      <w:r>
        <w:rPr>
          <w:color w:val="231F20"/>
          <w:u w:val="thick" w:color="231F20"/>
        </w:rPr>
        <w:t>QUESTION:</w:t>
      </w:r>
    </w:p>
    <w:p>
      <w:pPr>
        <w:pStyle w:val="BodyText"/>
        <w:spacing w:line="247" w:lineRule="auto" w:before="2"/>
        <w:ind w:left="112" w:firstLine="9"/>
      </w:pPr>
      <w:r>
        <w:rPr>
          <w:color w:val="231F20"/>
        </w:rPr>
        <w:t>Why is my child working with the same content as children who do not have a disability? If my child could do that, is special education necessary?</w:t>
      </w:r>
    </w:p>
    <w:p>
      <w:pPr>
        <w:pStyle w:val="BodyText"/>
        <w:spacing w:before="4"/>
        <w:rPr>
          <w:sz w:val="30"/>
        </w:rPr>
      </w:pPr>
    </w:p>
    <w:p>
      <w:pPr>
        <w:pStyle w:val="Heading1"/>
        <w:rPr>
          <w:u w:val="none"/>
        </w:rPr>
      </w:pPr>
      <w:r>
        <w:rPr>
          <w:color w:val="231F20"/>
          <w:u w:val="thick" w:color="231F20"/>
        </w:rPr>
        <w:t>ANSWER:</w:t>
      </w:r>
    </w:p>
    <w:p>
      <w:pPr>
        <w:pStyle w:val="BodyText"/>
        <w:spacing w:line="247" w:lineRule="auto" w:before="4"/>
        <w:ind w:left="112" w:right="143" w:firstLine="9"/>
      </w:pPr>
      <w:r>
        <w:rPr>
          <w:color w:val="231F20"/>
        </w:rPr>
        <w:t>Education has made tremendous gains since the first special education law was passed in 1975. In the 1980s, success was found in teaching students functional (life) skills that helped them at home and in the community. In the 1990s, inclusion in same age classrooms helped students improve self-determination, communication and social skills. Assistive technology has provided increased access to general curriculum for students with disabilities through providing alternative means of demonstrating their understanding of concepts. Beginning in 2000 it became evident that students with the most significant disabilities could find success in accessing academic learning. Building on these experiences the federal No Child Left Behind Act requires that alternate assessments be based on grade level content standards.</w:t>
      </w:r>
    </w:p>
    <w:p>
      <w:pPr>
        <w:pStyle w:val="BodyText"/>
        <w:spacing w:before="4"/>
        <w:rPr>
          <w:sz w:val="30"/>
        </w:rPr>
      </w:pPr>
    </w:p>
    <w:p>
      <w:pPr>
        <w:pStyle w:val="Heading1"/>
        <w:rPr>
          <w:u w:val="none"/>
        </w:rPr>
      </w:pPr>
      <w:r>
        <w:rPr>
          <w:color w:val="231F20"/>
          <w:u w:val="thick" w:color="231F20"/>
        </w:rPr>
        <w:t>MORE INFORMATION:</w:t>
      </w:r>
    </w:p>
    <w:p>
      <w:pPr>
        <w:pStyle w:val="BodyText"/>
        <w:spacing w:line="247" w:lineRule="auto" w:before="4"/>
        <w:ind w:left="112" w:right="181" w:firstLine="9"/>
      </w:pPr>
      <w:r>
        <w:rPr>
          <w:color w:val="231F20"/>
        </w:rPr>
        <w:t>Kentucky has held schools accountable for the progress of all students on state standards since 1990, including students with significant cognitive disabilities. In 2001 the federal law known as No Child Left Behind (NCLB) required every state to develop an accountability system that includes all students to determine how well they are educating America’s children. In December 2015, Congress reauthorized the Elementary and Secondary Education Act, the main federal law governing P-12 public education. Known as the Every Student Succeeds Act (ESSA), the measure replaced No Child Left Behind and created a long-term policy that gives states additional flexibility and provides more state and local control over the accountability process.</w:t>
      </w:r>
    </w:p>
    <w:p>
      <w:pPr>
        <w:spacing w:after="0" w:line="247" w:lineRule="auto"/>
        <w:sectPr>
          <w:pgSz w:w="12240" w:h="15840"/>
          <w:pgMar w:header="0" w:footer="984" w:top="1500" w:bottom="1180" w:left="1700" w:right="1320"/>
        </w:sectPr>
      </w:pPr>
    </w:p>
    <w:p>
      <w:pPr>
        <w:pStyle w:val="Heading1"/>
        <w:spacing w:before="61"/>
        <w:rPr>
          <w:u w:val="none"/>
        </w:rPr>
      </w:pPr>
      <w:r>
        <w:rPr>
          <w:color w:val="231F20"/>
          <w:u w:val="thick" w:color="231F20"/>
        </w:rPr>
        <w:t>QUESTION:</w:t>
      </w:r>
    </w:p>
    <w:p>
      <w:pPr>
        <w:pStyle w:val="BodyText"/>
        <w:spacing w:line="247" w:lineRule="auto" w:before="2"/>
        <w:ind w:left="112" w:right="233" w:firstLine="9"/>
      </w:pPr>
      <w:r>
        <w:rPr>
          <w:color w:val="231F20"/>
        </w:rPr>
        <w:t>Why must my child be assessed on the same grade level content standards as students who do not have an identified disability?</w:t>
      </w:r>
    </w:p>
    <w:p>
      <w:pPr>
        <w:pStyle w:val="BodyText"/>
        <w:spacing w:before="4"/>
        <w:rPr>
          <w:sz w:val="30"/>
        </w:rPr>
      </w:pPr>
    </w:p>
    <w:p>
      <w:pPr>
        <w:pStyle w:val="Heading1"/>
        <w:rPr>
          <w:u w:val="none"/>
        </w:rPr>
      </w:pPr>
      <w:r>
        <w:rPr>
          <w:color w:val="231F20"/>
          <w:u w:val="thick" w:color="231F20"/>
        </w:rPr>
        <w:t>ANSWER:</w:t>
      </w:r>
    </w:p>
    <w:p>
      <w:pPr>
        <w:pStyle w:val="BodyText"/>
        <w:spacing w:line="247" w:lineRule="auto" w:before="4"/>
        <w:ind w:left="112" w:right="199" w:firstLine="9"/>
      </w:pPr>
      <w:r>
        <w:rPr>
          <w:color w:val="231F20"/>
        </w:rPr>
        <w:t>There are two very important federal laws that determine how schools will be held accountable for the education of all students in the United States, No Child Left Behind (NCLB 2001) and the Individuals with Disabilities Education Improvement Act (IDEA 2004). Both NCLB and IDEA very clearly require high expectations for academic learning and access to the general curriculum for every child. This sets the expectation that all students are valuable and can learn at high levels. Recent research findings show that students with significant cognitive disabilities can learn. The assessment information is used to assist in improving schools and programs along with providing the best educational experience for all students.</w:t>
      </w:r>
    </w:p>
    <w:p>
      <w:pPr>
        <w:pStyle w:val="BodyText"/>
        <w:spacing w:before="4"/>
        <w:rPr>
          <w:sz w:val="30"/>
        </w:rPr>
      </w:pPr>
    </w:p>
    <w:p>
      <w:pPr>
        <w:pStyle w:val="Heading1"/>
        <w:rPr>
          <w:u w:val="none"/>
        </w:rPr>
      </w:pPr>
      <w:r>
        <w:rPr>
          <w:color w:val="231F20"/>
          <w:u w:val="thick" w:color="231F20"/>
        </w:rPr>
        <w:t>MORE INFORMATION:</w:t>
      </w:r>
    </w:p>
    <w:p>
      <w:pPr>
        <w:pStyle w:val="BodyText"/>
        <w:spacing w:line="247" w:lineRule="auto" w:before="4"/>
        <w:ind w:left="112" w:right="167" w:firstLine="9"/>
      </w:pPr>
      <w:r>
        <w:rPr>
          <w:color w:val="231F20"/>
        </w:rPr>
        <w:t>Instruction on grade level content standards provides the student with the opportunity to learn concepts that can be used in many situations along with learning more traditional functional (life) skills.  The combination of these two opportunities creates a truly meaningful</w:t>
      </w:r>
      <w:r>
        <w:rPr>
          <w:color w:val="231F20"/>
          <w:spacing w:val="-5"/>
        </w:rPr>
        <w:t> </w:t>
      </w:r>
      <w:r>
        <w:rPr>
          <w:color w:val="231F20"/>
        </w:rPr>
        <w:t>school</w:t>
      </w:r>
      <w:r>
        <w:rPr>
          <w:color w:val="231F20"/>
          <w:spacing w:val="-5"/>
        </w:rPr>
        <w:t> </w:t>
      </w:r>
      <w:r>
        <w:rPr>
          <w:color w:val="231F20"/>
        </w:rPr>
        <w:t>experience.</w:t>
      </w:r>
      <w:r>
        <w:rPr>
          <w:color w:val="231F20"/>
          <w:spacing w:val="-3"/>
        </w:rPr>
        <w:t> </w:t>
      </w:r>
      <w:r>
        <w:rPr>
          <w:color w:val="231F20"/>
        </w:rPr>
        <w:t>For</w:t>
      </w:r>
      <w:r>
        <w:rPr>
          <w:color w:val="231F20"/>
          <w:spacing w:val="-5"/>
        </w:rPr>
        <w:t> </w:t>
      </w:r>
      <w:r>
        <w:rPr>
          <w:color w:val="231F20"/>
        </w:rPr>
        <w:t>example,</w:t>
      </w:r>
      <w:r>
        <w:rPr>
          <w:color w:val="231F20"/>
          <w:spacing w:val="-5"/>
        </w:rPr>
        <w:t> </w:t>
      </w:r>
      <w:r>
        <w:rPr>
          <w:color w:val="231F20"/>
        </w:rPr>
        <w:t>as</w:t>
      </w:r>
      <w:r>
        <w:rPr>
          <w:color w:val="231F20"/>
          <w:spacing w:val="-3"/>
        </w:rPr>
        <w:t> </w:t>
      </w:r>
      <w:r>
        <w:rPr>
          <w:color w:val="231F20"/>
        </w:rPr>
        <w:t>a</w:t>
      </w:r>
      <w:r>
        <w:rPr>
          <w:color w:val="231F20"/>
          <w:spacing w:val="-5"/>
        </w:rPr>
        <w:t> </w:t>
      </w:r>
      <w:r>
        <w:rPr>
          <w:color w:val="231F20"/>
        </w:rPr>
        <w:t>student</w:t>
      </w:r>
      <w:r>
        <w:rPr>
          <w:color w:val="231F20"/>
          <w:spacing w:val="-5"/>
        </w:rPr>
        <w:t> </w:t>
      </w:r>
      <w:r>
        <w:rPr>
          <w:color w:val="231F20"/>
        </w:rPr>
        <w:t>is</w:t>
      </w:r>
      <w:r>
        <w:rPr>
          <w:color w:val="231F20"/>
          <w:spacing w:val="-5"/>
        </w:rPr>
        <w:t> </w:t>
      </w:r>
      <w:r>
        <w:rPr>
          <w:color w:val="231F20"/>
        </w:rPr>
        <w:t>working</w:t>
      </w:r>
      <w:r>
        <w:rPr>
          <w:color w:val="231F20"/>
          <w:spacing w:val="-6"/>
        </w:rPr>
        <w:t> </w:t>
      </w:r>
      <w:r>
        <w:rPr>
          <w:color w:val="231F20"/>
        </w:rPr>
        <w:t>on</w:t>
      </w:r>
      <w:r>
        <w:rPr>
          <w:color w:val="231F20"/>
          <w:spacing w:val="-5"/>
        </w:rPr>
        <w:t> </w:t>
      </w:r>
      <w:r>
        <w:rPr>
          <w:color w:val="231F20"/>
        </w:rPr>
        <w:t>the</w:t>
      </w:r>
      <w:r>
        <w:rPr>
          <w:color w:val="231F20"/>
          <w:spacing w:val="-4"/>
        </w:rPr>
        <w:t> </w:t>
      </w:r>
      <w:r>
        <w:rPr>
          <w:color w:val="231F20"/>
        </w:rPr>
        <w:t>standard</w:t>
      </w:r>
      <w:r>
        <w:rPr>
          <w:color w:val="231F20"/>
          <w:spacing w:val="-5"/>
        </w:rPr>
        <w:t> </w:t>
      </w:r>
      <w:r>
        <w:rPr>
          <w:color w:val="231F20"/>
        </w:rPr>
        <w:t>that</w:t>
      </w:r>
      <w:r>
        <w:rPr>
          <w:color w:val="231F20"/>
          <w:spacing w:val="-5"/>
        </w:rPr>
        <w:t> </w:t>
      </w:r>
      <w:r>
        <w:rPr>
          <w:color w:val="231F20"/>
        </w:rPr>
        <w:t>asks the students to analyze data, create a graph, and make an appropriate choice using the data or graph, the student</w:t>
      </w:r>
      <w:r>
        <w:rPr>
          <w:color w:val="231F20"/>
          <w:spacing w:val="-10"/>
        </w:rPr>
        <w:t> </w:t>
      </w:r>
      <w:r>
        <w:rPr>
          <w:color w:val="231F20"/>
        </w:rPr>
        <w:t>could:</w:t>
      </w:r>
    </w:p>
    <w:p>
      <w:pPr>
        <w:pStyle w:val="ListParagraph"/>
        <w:numPr>
          <w:ilvl w:val="0"/>
          <w:numId w:val="2"/>
        </w:numPr>
        <w:tabs>
          <w:tab w:pos="841" w:val="left" w:leader="none"/>
          <w:tab w:pos="842" w:val="left" w:leader="none"/>
        </w:tabs>
        <w:spacing w:line="244" w:lineRule="auto" w:before="8" w:after="0"/>
        <w:ind w:left="842" w:right="751" w:hanging="360"/>
        <w:jc w:val="left"/>
        <w:rPr>
          <w:sz w:val="24"/>
        </w:rPr>
      </w:pPr>
      <w:r>
        <w:rPr>
          <w:color w:val="231F20"/>
          <w:sz w:val="24"/>
        </w:rPr>
        <w:t>increase communication and social skills (including switches and augmentative communication</w:t>
      </w:r>
      <w:r>
        <w:rPr>
          <w:color w:val="231F20"/>
          <w:spacing w:val="-6"/>
          <w:sz w:val="24"/>
        </w:rPr>
        <w:t> </w:t>
      </w:r>
      <w:r>
        <w:rPr>
          <w:color w:val="231F20"/>
          <w:sz w:val="24"/>
        </w:rPr>
        <w:t>boards)</w:t>
      </w:r>
      <w:r>
        <w:rPr>
          <w:color w:val="231F20"/>
          <w:spacing w:val="-4"/>
          <w:sz w:val="24"/>
        </w:rPr>
        <w:t> </w:t>
      </w:r>
      <w:r>
        <w:rPr>
          <w:color w:val="231F20"/>
          <w:sz w:val="24"/>
        </w:rPr>
        <w:t>while</w:t>
      </w:r>
      <w:r>
        <w:rPr>
          <w:color w:val="231F20"/>
          <w:spacing w:val="-5"/>
          <w:sz w:val="24"/>
        </w:rPr>
        <w:t> </w:t>
      </w:r>
      <w:r>
        <w:rPr>
          <w:color w:val="231F20"/>
          <w:sz w:val="24"/>
        </w:rPr>
        <w:t>conducting</w:t>
      </w:r>
      <w:r>
        <w:rPr>
          <w:color w:val="231F20"/>
          <w:spacing w:val="-8"/>
          <w:sz w:val="24"/>
        </w:rPr>
        <w:t> </w:t>
      </w:r>
      <w:r>
        <w:rPr>
          <w:color w:val="231F20"/>
          <w:sz w:val="24"/>
        </w:rPr>
        <w:t>a</w:t>
      </w:r>
      <w:r>
        <w:rPr>
          <w:color w:val="231F20"/>
          <w:spacing w:val="-5"/>
          <w:sz w:val="24"/>
        </w:rPr>
        <w:t> </w:t>
      </w:r>
      <w:r>
        <w:rPr>
          <w:color w:val="231F20"/>
          <w:sz w:val="24"/>
        </w:rPr>
        <w:t>survey</w:t>
      </w:r>
      <w:r>
        <w:rPr>
          <w:color w:val="231F20"/>
          <w:spacing w:val="-8"/>
          <w:sz w:val="24"/>
        </w:rPr>
        <w:t> </w:t>
      </w:r>
      <w:r>
        <w:rPr>
          <w:color w:val="231F20"/>
          <w:sz w:val="24"/>
        </w:rPr>
        <w:t>to</w:t>
      </w:r>
      <w:r>
        <w:rPr>
          <w:color w:val="231F20"/>
          <w:spacing w:val="-6"/>
          <w:sz w:val="24"/>
        </w:rPr>
        <w:t> </w:t>
      </w:r>
      <w:r>
        <w:rPr>
          <w:color w:val="231F20"/>
          <w:sz w:val="24"/>
        </w:rPr>
        <w:t>collect</w:t>
      </w:r>
      <w:r>
        <w:rPr>
          <w:color w:val="231F20"/>
          <w:spacing w:val="-5"/>
          <w:sz w:val="24"/>
        </w:rPr>
        <w:t> </w:t>
      </w:r>
      <w:r>
        <w:rPr>
          <w:color w:val="231F20"/>
          <w:sz w:val="24"/>
        </w:rPr>
        <w:t>data;</w:t>
      </w:r>
    </w:p>
    <w:p>
      <w:pPr>
        <w:pStyle w:val="ListParagraph"/>
        <w:numPr>
          <w:ilvl w:val="0"/>
          <w:numId w:val="2"/>
        </w:numPr>
        <w:tabs>
          <w:tab w:pos="841" w:val="left" w:leader="none"/>
          <w:tab w:pos="842" w:val="left" w:leader="none"/>
        </w:tabs>
        <w:spacing w:line="249" w:lineRule="auto" w:before="11" w:after="0"/>
        <w:ind w:left="842" w:right="2768" w:hanging="360"/>
        <w:jc w:val="left"/>
        <w:rPr>
          <w:sz w:val="24"/>
        </w:rPr>
      </w:pPr>
      <w:r>
        <w:rPr>
          <w:color w:val="231F20"/>
          <w:sz w:val="24"/>
        </w:rPr>
        <w:t>increase number sense as he/she enters the data on a</w:t>
      </w:r>
      <w:r>
        <w:rPr>
          <w:color w:val="231F20"/>
          <w:spacing w:val="-35"/>
          <w:sz w:val="24"/>
        </w:rPr>
        <w:t> </w:t>
      </w:r>
      <w:r>
        <w:rPr>
          <w:color w:val="231F20"/>
          <w:sz w:val="24"/>
        </w:rPr>
        <w:t>graph (e.g., one to one</w:t>
      </w:r>
      <w:r>
        <w:rPr>
          <w:color w:val="231F20"/>
          <w:spacing w:val="-25"/>
          <w:sz w:val="24"/>
        </w:rPr>
        <w:t> </w:t>
      </w:r>
      <w:r>
        <w:rPr>
          <w:color w:val="231F20"/>
          <w:sz w:val="24"/>
        </w:rPr>
        <w:t>correspondence);</w:t>
      </w:r>
    </w:p>
    <w:p>
      <w:pPr>
        <w:pStyle w:val="ListParagraph"/>
        <w:numPr>
          <w:ilvl w:val="0"/>
          <w:numId w:val="2"/>
        </w:numPr>
        <w:tabs>
          <w:tab w:pos="841" w:val="left" w:leader="none"/>
          <w:tab w:pos="842" w:val="left" w:leader="none"/>
        </w:tabs>
        <w:spacing w:line="244" w:lineRule="auto" w:before="5" w:after="0"/>
        <w:ind w:left="842" w:right="663" w:hanging="360"/>
        <w:jc w:val="left"/>
        <w:rPr>
          <w:sz w:val="24"/>
        </w:rPr>
      </w:pPr>
      <w:r>
        <w:rPr>
          <w:color w:val="231F20"/>
          <w:sz w:val="24"/>
        </w:rPr>
        <w:t>increase appropriate and informed decision making skills when using the data to make</w:t>
      </w:r>
      <w:r>
        <w:rPr>
          <w:color w:val="231F20"/>
          <w:spacing w:val="-5"/>
          <w:sz w:val="24"/>
        </w:rPr>
        <w:t> </w:t>
      </w:r>
      <w:r>
        <w:rPr>
          <w:color w:val="231F20"/>
          <w:sz w:val="24"/>
        </w:rPr>
        <w:t>a</w:t>
      </w:r>
      <w:r>
        <w:rPr>
          <w:color w:val="231F20"/>
          <w:spacing w:val="-4"/>
          <w:sz w:val="24"/>
        </w:rPr>
        <w:t> </w:t>
      </w:r>
      <w:r>
        <w:rPr>
          <w:color w:val="231F20"/>
          <w:sz w:val="24"/>
        </w:rPr>
        <w:t>choice</w:t>
      </w:r>
      <w:r>
        <w:rPr>
          <w:color w:val="231F20"/>
          <w:spacing w:val="-4"/>
          <w:sz w:val="24"/>
        </w:rPr>
        <w:t> </w:t>
      </w:r>
      <w:r>
        <w:rPr>
          <w:color w:val="231F20"/>
          <w:sz w:val="24"/>
        </w:rPr>
        <w:t>using</w:t>
      </w:r>
      <w:r>
        <w:rPr>
          <w:color w:val="231F20"/>
          <w:spacing w:val="-6"/>
          <w:sz w:val="24"/>
        </w:rPr>
        <w:t> </w:t>
      </w:r>
      <w:r>
        <w:rPr>
          <w:color w:val="231F20"/>
          <w:sz w:val="24"/>
        </w:rPr>
        <w:t>the</w:t>
      </w:r>
      <w:r>
        <w:rPr>
          <w:color w:val="231F20"/>
          <w:spacing w:val="-3"/>
          <w:sz w:val="24"/>
        </w:rPr>
        <w:t> </w:t>
      </w:r>
      <w:r>
        <w:rPr>
          <w:color w:val="231F20"/>
          <w:sz w:val="24"/>
        </w:rPr>
        <w:t>data</w:t>
      </w:r>
      <w:r>
        <w:rPr>
          <w:color w:val="231F20"/>
          <w:spacing w:val="-4"/>
          <w:sz w:val="24"/>
        </w:rPr>
        <w:t> </w:t>
      </w:r>
      <w:r>
        <w:rPr>
          <w:color w:val="231F20"/>
          <w:sz w:val="24"/>
        </w:rPr>
        <w:t>or</w:t>
      </w:r>
      <w:r>
        <w:rPr>
          <w:color w:val="231F20"/>
          <w:spacing w:val="-3"/>
          <w:sz w:val="24"/>
        </w:rPr>
        <w:t> </w:t>
      </w:r>
      <w:r>
        <w:rPr>
          <w:color w:val="231F20"/>
          <w:sz w:val="24"/>
        </w:rPr>
        <w:t>graph</w:t>
      </w:r>
      <w:r>
        <w:rPr>
          <w:color w:val="231F20"/>
          <w:spacing w:val="-4"/>
          <w:sz w:val="24"/>
        </w:rPr>
        <w:t> </w:t>
      </w:r>
      <w:r>
        <w:rPr>
          <w:color w:val="231F20"/>
          <w:sz w:val="24"/>
        </w:rPr>
        <w:t>(e.g.,</w:t>
      </w:r>
      <w:r>
        <w:rPr>
          <w:color w:val="231F20"/>
          <w:spacing w:val="-2"/>
          <w:sz w:val="24"/>
        </w:rPr>
        <w:t> </w:t>
      </w:r>
      <w:r>
        <w:rPr>
          <w:color w:val="231F20"/>
          <w:sz w:val="24"/>
        </w:rPr>
        <w:t>which</w:t>
      </w:r>
      <w:r>
        <w:rPr>
          <w:color w:val="231F20"/>
          <w:spacing w:val="-4"/>
          <w:sz w:val="24"/>
        </w:rPr>
        <w:t> </w:t>
      </w:r>
      <w:r>
        <w:rPr>
          <w:color w:val="231F20"/>
          <w:sz w:val="24"/>
        </w:rPr>
        <w:t>one</w:t>
      </w:r>
      <w:r>
        <w:rPr>
          <w:color w:val="231F20"/>
          <w:spacing w:val="-4"/>
          <w:sz w:val="24"/>
        </w:rPr>
        <w:t> </w:t>
      </w:r>
      <w:r>
        <w:rPr>
          <w:color w:val="231F20"/>
          <w:sz w:val="24"/>
        </w:rPr>
        <w:t>has</w:t>
      </w:r>
      <w:r>
        <w:rPr>
          <w:color w:val="231F20"/>
          <w:spacing w:val="-4"/>
          <w:sz w:val="24"/>
        </w:rPr>
        <w:t> </w:t>
      </w:r>
      <w:r>
        <w:rPr>
          <w:color w:val="231F20"/>
          <w:sz w:val="24"/>
        </w:rPr>
        <w:t>more);</w:t>
      </w:r>
      <w:r>
        <w:rPr>
          <w:color w:val="231F20"/>
          <w:spacing w:val="-4"/>
          <w:sz w:val="24"/>
        </w:rPr>
        <w:t> </w:t>
      </w:r>
      <w:r>
        <w:rPr>
          <w:color w:val="231F20"/>
          <w:sz w:val="24"/>
        </w:rPr>
        <w:t>and/or,</w:t>
      </w:r>
    </w:p>
    <w:p>
      <w:pPr>
        <w:pStyle w:val="ListParagraph"/>
        <w:numPr>
          <w:ilvl w:val="0"/>
          <w:numId w:val="2"/>
        </w:numPr>
        <w:tabs>
          <w:tab w:pos="841" w:val="left" w:leader="none"/>
          <w:tab w:pos="842" w:val="left" w:leader="none"/>
        </w:tabs>
        <w:spacing w:line="244" w:lineRule="auto" w:before="11" w:after="0"/>
        <w:ind w:left="842" w:right="384" w:hanging="360"/>
        <w:jc w:val="left"/>
        <w:rPr>
          <w:sz w:val="24"/>
        </w:rPr>
      </w:pPr>
      <w:r>
        <w:rPr>
          <w:color w:val="231F20"/>
          <w:sz w:val="24"/>
        </w:rPr>
        <w:t>increase</w:t>
      </w:r>
      <w:r>
        <w:rPr>
          <w:color w:val="231F20"/>
          <w:spacing w:val="-4"/>
          <w:sz w:val="24"/>
        </w:rPr>
        <w:t> </w:t>
      </w:r>
      <w:r>
        <w:rPr>
          <w:color w:val="231F20"/>
          <w:sz w:val="24"/>
        </w:rPr>
        <w:t>skills</w:t>
      </w:r>
      <w:r>
        <w:rPr>
          <w:color w:val="231F20"/>
          <w:spacing w:val="-4"/>
          <w:sz w:val="24"/>
        </w:rPr>
        <w:t> </w:t>
      </w:r>
      <w:r>
        <w:rPr>
          <w:color w:val="231F20"/>
          <w:sz w:val="24"/>
        </w:rPr>
        <w:t>that</w:t>
      </w:r>
      <w:r>
        <w:rPr>
          <w:color w:val="231F20"/>
          <w:spacing w:val="-4"/>
          <w:sz w:val="24"/>
        </w:rPr>
        <w:t> </w:t>
      </w:r>
      <w:r>
        <w:rPr>
          <w:color w:val="231F20"/>
          <w:sz w:val="24"/>
        </w:rPr>
        <w:t>may</w:t>
      </w:r>
      <w:r>
        <w:rPr>
          <w:color w:val="231F20"/>
          <w:spacing w:val="-8"/>
          <w:sz w:val="24"/>
        </w:rPr>
        <w:t> </w:t>
      </w:r>
      <w:r>
        <w:rPr>
          <w:color w:val="231F20"/>
          <w:sz w:val="24"/>
        </w:rPr>
        <w:t>be</w:t>
      </w:r>
      <w:r>
        <w:rPr>
          <w:color w:val="231F20"/>
          <w:spacing w:val="-4"/>
          <w:sz w:val="24"/>
        </w:rPr>
        <w:t> </w:t>
      </w:r>
      <w:r>
        <w:rPr>
          <w:color w:val="231F20"/>
          <w:sz w:val="24"/>
        </w:rPr>
        <w:t>used</w:t>
      </w:r>
      <w:r>
        <w:rPr>
          <w:color w:val="231F20"/>
          <w:spacing w:val="-4"/>
          <w:sz w:val="24"/>
        </w:rPr>
        <w:t> </w:t>
      </w:r>
      <w:r>
        <w:rPr>
          <w:color w:val="231F20"/>
          <w:sz w:val="24"/>
        </w:rPr>
        <w:t>for</w:t>
      </w:r>
      <w:r>
        <w:rPr>
          <w:color w:val="231F20"/>
          <w:spacing w:val="-3"/>
          <w:sz w:val="24"/>
        </w:rPr>
        <w:t> </w:t>
      </w:r>
      <w:r>
        <w:rPr>
          <w:color w:val="231F20"/>
          <w:sz w:val="24"/>
        </w:rPr>
        <w:t>a</w:t>
      </w:r>
      <w:r>
        <w:rPr>
          <w:color w:val="231F20"/>
          <w:spacing w:val="-4"/>
          <w:sz w:val="24"/>
        </w:rPr>
        <w:t> </w:t>
      </w:r>
      <w:r>
        <w:rPr>
          <w:color w:val="231F20"/>
          <w:sz w:val="24"/>
        </w:rPr>
        <w:t>job</w:t>
      </w:r>
      <w:r>
        <w:rPr>
          <w:color w:val="231F20"/>
          <w:spacing w:val="-4"/>
          <w:sz w:val="24"/>
        </w:rPr>
        <w:t> </w:t>
      </w:r>
      <w:r>
        <w:rPr>
          <w:color w:val="231F20"/>
          <w:sz w:val="24"/>
        </w:rPr>
        <w:t>(e.g.,</w:t>
      </w:r>
      <w:r>
        <w:rPr>
          <w:color w:val="231F20"/>
          <w:spacing w:val="-1"/>
          <w:sz w:val="24"/>
        </w:rPr>
        <w:t> </w:t>
      </w:r>
      <w:r>
        <w:rPr>
          <w:color w:val="231F20"/>
          <w:sz w:val="24"/>
        </w:rPr>
        <w:t>entering</w:t>
      </w:r>
      <w:r>
        <w:rPr>
          <w:color w:val="231F20"/>
          <w:spacing w:val="-5"/>
          <w:sz w:val="24"/>
        </w:rPr>
        <w:t> </w:t>
      </w:r>
      <w:r>
        <w:rPr>
          <w:color w:val="231F20"/>
          <w:sz w:val="24"/>
        </w:rPr>
        <w:t>data</w:t>
      </w:r>
      <w:r>
        <w:rPr>
          <w:color w:val="231F20"/>
          <w:spacing w:val="-4"/>
          <w:sz w:val="24"/>
        </w:rPr>
        <w:t> </w:t>
      </w:r>
      <w:r>
        <w:rPr>
          <w:color w:val="231F20"/>
          <w:sz w:val="24"/>
        </w:rPr>
        <w:t>on</w:t>
      </w:r>
      <w:r>
        <w:rPr>
          <w:color w:val="231F20"/>
          <w:spacing w:val="-4"/>
          <w:sz w:val="24"/>
        </w:rPr>
        <w:t> </w:t>
      </w:r>
      <w:r>
        <w:rPr>
          <w:color w:val="231F20"/>
          <w:sz w:val="24"/>
        </w:rPr>
        <w:t>a</w:t>
      </w:r>
      <w:r>
        <w:rPr>
          <w:color w:val="231F20"/>
          <w:spacing w:val="-3"/>
          <w:sz w:val="24"/>
        </w:rPr>
        <w:t> </w:t>
      </w:r>
      <w:r>
        <w:rPr>
          <w:color w:val="231F20"/>
          <w:sz w:val="24"/>
        </w:rPr>
        <w:t>computer,</w:t>
      </w:r>
      <w:r>
        <w:rPr>
          <w:color w:val="231F20"/>
          <w:spacing w:val="-2"/>
          <w:sz w:val="24"/>
        </w:rPr>
        <w:t> </w:t>
      </w:r>
      <w:r>
        <w:rPr>
          <w:color w:val="231F20"/>
          <w:sz w:val="24"/>
        </w:rPr>
        <w:t>using</w:t>
      </w:r>
      <w:r>
        <w:rPr>
          <w:color w:val="231F20"/>
          <w:spacing w:val="-6"/>
          <w:sz w:val="24"/>
        </w:rPr>
        <w:t> </w:t>
      </w:r>
      <w:r>
        <w:rPr>
          <w:color w:val="231F20"/>
          <w:sz w:val="24"/>
        </w:rPr>
        <w:t>a switch to enter data, polling people at a</w:t>
      </w:r>
      <w:r>
        <w:rPr>
          <w:color w:val="231F20"/>
          <w:spacing w:val="-35"/>
          <w:sz w:val="24"/>
        </w:rPr>
        <w:t> </w:t>
      </w:r>
      <w:r>
        <w:rPr>
          <w:color w:val="231F20"/>
          <w:sz w:val="24"/>
        </w:rPr>
        <w:t>mall).</w:t>
      </w:r>
    </w:p>
    <w:p>
      <w:pPr>
        <w:pStyle w:val="BodyText"/>
        <w:spacing w:line="247" w:lineRule="auto" w:before="9"/>
        <w:ind w:left="112" w:right="242" w:firstLine="9"/>
        <w:jc w:val="both"/>
      </w:pPr>
      <w:r>
        <w:rPr>
          <w:color w:val="231F20"/>
        </w:rPr>
        <w:t>The students participating in the Alternate Assessment are allowed to use supports that help them learn and be independent. These supports may include reducing the level of difficulty, providing pictures or objects and using assistive technology.</w:t>
      </w:r>
    </w:p>
    <w:p>
      <w:pPr>
        <w:pStyle w:val="BodyText"/>
        <w:spacing w:before="4"/>
        <w:rPr>
          <w:sz w:val="30"/>
        </w:rPr>
      </w:pPr>
    </w:p>
    <w:p>
      <w:pPr>
        <w:pStyle w:val="Heading1"/>
        <w:rPr>
          <w:u w:val="none"/>
        </w:rPr>
      </w:pPr>
      <w:r>
        <w:rPr>
          <w:color w:val="231F20"/>
          <w:u w:val="thick" w:color="231F20"/>
        </w:rPr>
        <w:t>QUESTION:</w:t>
      </w:r>
    </w:p>
    <w:p>
      <w:pPr>
        <w:pStyle w:val="BodyText"/>
        <w:spacing w:before="5"/>
        <w:ind w:left="122"/>
      </w:pPr>
      <w:r>
        <w:rPr>
          <w:color w:val="231F20"/>
        </w:rPr>
        <w:t>Doesn’t my child’s IEP determine what they learn at school?</w:t>
      </w:r>
    </w:p>
    <w:p>
      <w:pPr>
        <w:pStyle w:val="BodyText"/>
        <w:spacing w:before="1"/>
        <w:rPr>
          <w:sz w:val="31"/>
        </w:rPr>
      </w:pPr>
    </w:p>
    <w:p>
      <w:pPr>
        <w:pStyle w:val="Heading1"/>
        <w:rPr>
          <w:u w:val="none"/>
        </w:rPr>
      </w:pPr>
      <w:r>
        <w:rPr>
          <w:color w:val="231F20"/>
          <w:u w:val="thick" w:color="231F20"/>
        </w:rPr>
        <w:t>ANSWER:</w:t>
      </w:r>
    </w:p>
    <w:p>
      <w:pPr>
        <w:pStyle w:val="BodyText"/>
        <w:spacing w:line="247" w:lineRule="auto" w:before="2"/>
        <w:ind w:left="112" w:right="143" w:firstLine="9"/>
      </w:pPr>
      <w:r>
        <w:rPr>
          <w:color w:val="231F20"/>
        </w:rPr>
        <w:t>The purpose of an IEP is to ensure that your child with disabilities receives a free and appropriate education. An Individualized Education Program (IEP) is a written plan describing the specially designed instruction (SDI), accommodations/modifications and related services needed to address the individual needs of your child. Specially designed instruction is defined in IDEA as adapting the content, methodology or delivery of</w:t>
      </w:r>
    </w:p>
    <w:p>
      <w:pPr>
        <w:spacing w:after="0" w:line="247" w:lineRule="auto"/>
        <w:sectPr>
          <w:pgSz w:w="12240" w:h="15840"/>
          <w:pgMar w:header="0" w:footer="984" w:top="1380" w:bottom="1180" w:left="1700" w:right="1320"/>
        </w:sectPr>
      </w:pPr>
    </w:p>
    <w:p>
      <w:pPr>
        <w:pStyle w:val="BodyText"/>
        <w:spacing w:line="247" w:lineRule="auto" w:before="76"/>
        <w:ind w:left="112" w:right="250"/>
      </w:pPr>
      <w:r>
        <w:rPr>
          <w:color w:val="231F20"/>
        </w:rPr>
        <w:t>instruction to address the unique needs of the child and to ensure access to the general curriculum so that the child can meet the educational standards within the jurisdiction of the public agency that apply to all children. The educational standards are the content standards that Kentucky has adopted from the National Common Core Standards; they are the Kentucky Academic Standards (KAS). As daily instruction specific to these content standards occur within the classroom, the IEP’s clearly defined components (i.e., present level of performance, annual goals and objectives/benchmarks, accommodations and modifications, etc.) are necessary for ensuring that an appropriate education occurs.</w:t>
      </w:r>
    </w:p>
    <w:p>
      <w:pPr>
        <w:pStyle w:val="BodyText"/>
        <w:spacing w:before="3"/>
        <w:rPr>
          <w:sz w:val="30"/>
        </w:rPr>
      </w:pPr>
    </w:p>
    <w:p>
      <w:pPr>
        <w:pStyle w:val="Heading1"/>
        <w:spacing w:before="1"/>
        <w:rPr>
          <w:u w:val="none"/>
        </w:rPr>
      </w:pPr>
      <w:r>
        <w:rPr>
          <w:color w:val="231F20"/>
          <w:u w:val="thick" w:color="231F20"/>
        </w:rPr>
        <w:t>MORE INFORMATION:</w:t>
      </w:r>
    </w:p>
    <w:p>
      <w:pPr>
        <w:pStyle w:val="BodyText"/>
        <w:spacing w:line="247" w:lineRule="auto" w:before="5"/>
        <w:ind w:left="112" w:right="303" w:firstLine="9"/>
      </w:pPr>
      <w:r>
        <w:rPr>
          <w:color w:val="231F20"/>
        </w:rPr>
        <w:t>An IEP is not intended to be the student’s entire educational program. Instead it is the support program that students need to access to ensure progress in the general curriculum. The IEP is developed by the Admissions and Release Committee (ARC) as a record of decisions made by its members. The IEP is a plan of action and a commitment of the resources identified within the program. The ARC membership consists of the following members: parents; teacher(s), both general and special; chairperson; and the student if appropriate. By state and federal requirements, the IEP must be developed during the ARC meeting. The IEP should determine the necessary special education and related services as well as supports that the student requires when learning the general curriculum content. For additional information, you may contact your local Special Education Cooperative and/or The Kentucky Department of Education, Division of Learning Services at (502) 564-4970.</w:t>
      </w:r>
    </w:p>
    <w:p>
      <w:pPr>
        <w:pStyle w:val="BodyText"/>
        <w:spacing w:before="4"/>
        <w:rPr>
          <w:sz w:val="30"/>
        </w:rPr>
      </w:pPr>
    </w:p>
    <w:p>
      <w:pPr>
        <w:pStyle w:val="Heading1"/>
        <w:rPr>
          <w:u w:val="none"/>
        </w:rPr>
      </w:pPr>
      <w:r>
        <w:rPr>
          <w:color w:val="231F20"/>
          <w:u w:val="thick" w:color="231F20"/>
        </w:rPr>
        <w:t>QUESTION:</w:t>
      </w:r>
    </w:p>
    <w:p>
      <w:pPr>
        <w:pStyle w:val="BodyText"/>
        <w:spacing w:before="4"/>
        <w:ind w:left="122"/>
      </w:pPr>
      <w:r>
        <w:rPr>
          <w:color w:val="231F20"/>
        </w:rPr>
        <w:t>Does the Alternate Assessment limit the help that my child receives?</w:t>
      </w:r>
    </w:p>
    <w:p>
      <w:pPr>
        <w:pStyle w:val="BodyText"/>
        <w:spacing w:before="1"/>
        <w:rPr>
          <w:sz w:val="31"/>
        </w:rPr>
      </w:pPr>
    </w:p>
    <w:p>
      <w:pPr>
        <w:pStyle w:val="Heading1"/>
        <w:rPr>
          <w:u w:val="none"/>
        </w:rPr>
      </w:pPr>
      <w:r>
        <w:rPr>
          <w:color w:val="231F20"/>
          <w:u w:val="thick" w:color="231F20"/>
        </w:rPr>
        <w:t>ANSWER:</w:t>
      </w:r>
    </w:p>
    <w:p>
      <w:pPr>
        <w:pStyle w:val="BodyText"/>
        <w:spacing w:line="247" w:lineRule="auto" w:before="2"/>
        <w:ind w:left="112" w:right="143" w:firstLine="9"/>
      </w:pPr>
      <w:r>
        <w:rPr>
          <w:color w:val="231F20"/>
        </w:rPr>
        <w:t>The teacher should provide the student with the help needed in order to learn the required skills in the curriculum. However, that instruction should be shaped over time to help the student move toward a greater level of independence. So when it comes time to assess the student can do work independently.</w:t>
      </w:r>
    </w:p>
    <w:p>
      <w:pPr>
        <w:pStyle w:val="BodyText"/>
        <w:spacing w:before="4"/>
        <w:rPr>
          <w:sz w:val="30"/>
        </w:rPr>
      </w:pPr>
    </w:p>
    <w:p>
      <w:pPr>
        <w:pStyle w:val="Heading1"/>
        <w:rPr>
          <w:u w:val="none"/>
        </w:rPr>
      </w:pPr>
      <w:r>
        <w:rPr>
          <w:color w:val="231F20"/>
          <w:u w:val="thick" w:color="231F20"/>
        </w:rPr>
        <w:t>MORE INFORMATION:</w:t>
      </w:r>
    </w:p>
    <w:p>
      <w:pPr>
        <w:pStyle w:val="BodyText"/>
        <w:spacing w:line="247" w:lineRule="auto" w:before="1"/>
        <w:ind w:left="112" w:right="143" w:firstLine="9"/>
      </w:pPr>
      <w:r>
        <w:rPr>
          <w:color w:val="231F20"/>
        </w:rPr>
        <w:t>The Alternate Assessment allows for whatever assistance the student needs during instruction. Assistance on the assessment should be based on the individual student’s needs. The assistance provided to the student should in no way direct them to a correct response.</w:t>
      </w:r>
    </w:p>
    <w:p>
      <w:pPr>
        <w:pStyle w:val="BodyText"/>
        <w:spacing w:before="4"/>
        <w:rPr>
          <w:sz w:val="30"/>
        </w:rPr>
      </w:pPr>
    </w:p>
    <w:p>
      <w:pPr>
        <w:pStyle w:val="Heading1"/>
        <w:rPr>
          <w:u w:val="none"/>
        </w:rPr>
      </w:pPr>
      <w:r>
        <w:rPr>
          <w:color w:val="231F20"/>
          <w:u w:val="thick" w:color="231F20"/>
        </w:rPr>
        <w:t>QUESTION:</w:t>
      </w:r>
    </w:p>
    <w:p>
      <w:pPr>
        <w:pStyle w:val="BodyText"/>
        <w:spacing w:before="2"/>
        <w:ind w:left="122"/>
      </w:pPr>
      <w:r>
        <w:rPr>
          <w:color w:val="231F20"/>
        </w:rPr>
        <w:t>Is my child allowed to use any modifications in the Alternate Assessment?</w:t>
      </w:r>
    </w:p>
    <w:p>
      <w:pPr>
        <w:pStyle w:val="BodyText"/>
        <w:spacing w:before="1"/>
        <w:rPr>
          <w:sz w:val="31"/>
        </w:rPr>
      </w:pPr>
    </w:p>
    <w:p>
      <w:pPr>
        <w:pStyle w:val="Heading1"/>
        <w:rPr>
          <w:u w:val="none"/>
        </w:rPr>
      </w:pPr>
      <w:r>
        <w:rPr>
          <w:color w:val="231F20"/>
          <w:u w:val="thick" w:color="231F20"/>
        </w:rPr>
        <w:t>ANSWER:</w:t>
      </w:r>
    </w:p>
    <w:p>
      <w:pPr>
        <w:pStyle w:val="BodyText"/>
        <w:spacing w:line="247" w:lineRule="auto" w:before="4"/>
        <w:ind w:left="112" w:right="95" w:firstLine="9"/>
      </w:pPr>
      <w:r>
        <w:rPr>
          <w:color w:val="231F20"/>
        </w:rPr>
        <w:t>The Alternate Assessment allows the student to use supports (modifications, adaptations and assistive technology) during instruction and during assessment. Providing supports allows the student to learn content that is age appropriate, interesting and challenging. The only time</w:t>
      </w:r>
    </w:p>
    <w:p>
      <w:pPr>
        <w:spacing w:after="0" w:line="247" w:lineRule="auto"/>
        <w:sectPr>
          <w:footerReference w:type="default" r:id="rId8"/>
          <w:pgSz w:w="12240" w:h="15840"/>
          <w:pgMar w:footer="984" w:header="0" w:top="1360" w:bottom="1180" w:left="1700" w:right="1320"/>
        </w:sectPr>
      </w:pPr>
    </w:p>
    <w:p>
      <w:pPr>
        <w:pStyle w:val="BodyText"/>
        <w:spacing w:line="247" w:lineRule="auto" w:before="76"/>
        <w:ind w:left="112" w:right="143"/>
      </w:pPr>
      <w:r>
        <w:rPr>
          <w:color w:val="231F20"/>
        </w:rPr>
        <w:t>this is not allowable is when the support directly guides the student to the correct answer. An example of an allowable support would be to color code so the student knows to start with the green and end with the red. An example of a support that is not allowable would be to color</w:t>
      </w:r>
      <w:r>
        <w:rPr>
          <w:color w:val="231F20"/>
          <w:spacing w:val="-5"/>
        </w:rPr>
        <w:t> </w:t>
      </w:r>
      <w:r>
        <w:rPr>
          <w:color w:val="231F20"/>
        </w:rPr>
        <w:t>code</w:t>
      </w:r>
      <w:r>
        <w:rPr>
          <w:color w:val="231F20"/>
          <w:spacing w:val="-5"/>
        </w:rPr>
        <w:t> </w:t>
      </w:r>
      <w:r>
        <w:rPr>
          <w:color w:val="231F20"/>
        </w:rPr>
        <w:t>the</w:t>
      </w:r>
      <w:r>
        <w:rPr>
          <w:color w:val="231F20"/>
          <w:spacing w:val="-3"/>
        </w:rPr>
        <w:t> </w:t>
      </w:r>
      <w:r>
        <w:rPr>
          <w:color w:val="231F20"/>
        </w:rPr>
        <w:t>correct</w:t>
      </w:r>
      <w:r>
        <w:rPr>
          <w:color w:val="231F20"/>
          <w:spacing w:val="-5"/>
        </w:rPr>
        <w:t> </w:t>
      </w:r>
      <w:r>
        <w:rPr>
          <w:color w:val="231F20"/>
        </w:rPr>
        <w:t>answer</w:t>
      </w:r>
      <w:r>
        <w:rPr>
          <w:color w:val="231F20"/>
          <w:spacing w:val="-3"/>
        </w:rPr>
        <w:t> </w:t>
      </w:r>
      <w:r>
        <w:rPr>
          <w:color w:val="231F20"/>
        </w:rPr>
        <w:t>green</w:t>
      </w:r>
      <w:r>
        <w:rPr>
          <w:color w:val="231F20"/>
          <w:spacing w:val="-5"/>
        </w:rPr>
        <w:t> </w:t>
      </w:r>
      <w:r>
        <w:rPr>
          <w:color w:val="231F20"/>
        </w:rPr>
        <w:t>and</w:t>
      </w:r>
      <w:r>
        <w:rPr>
          <w:color w:val="231F20"/>
          <w:spacing w:val="-5"/>
        </w:rPr>
        <w:t> </w:t>
      </w:r>
      <w:r>
        <w:rPr>
          <w:color w:val="231F20"/>
        </w:rPr>
        <w:t>the</w:t>
      </w:r>
      <w:r>
        <w:rPr>
          <w:color w:val="231F20"/>
          <w:spacing w:val="-5"/>
        </w:rPr>
        <w:t> </w:t>
      </w:r>
      <w:r>
        <w:rPr>
          <w:color w:val="231F20"/>
        </w:rPr>
        <w:t>incorrect</w:t>
      </w:r>
      <w:r>
        <w:rPr>
          <w:color w:val="231F20"/>
          <w:spacing w:val="-5"/>
        </w:rPr>
        <w:t> </w:t>
      </w:r>
      <w:r>
        <w:rPr>
          <w:color w:val="231F20"/>
        </w:rPr>
        <w:t>answer</w:t>
      </w:r>
      <w:r>
        <w:rPr>
          <w:color w:val="231F20"/>
          <w:spacing w:val="-4"/>
        </w:rPr>
        <w:t> </w:t>
      </w:r>
      <w:r>
        <w:rPr>
          <w:color w:val="231F20"/>
        </w:rPr>
        <w:t>red.</w:t>
      </w:r>
    </w:p>
    <w:p>
      <w:pPr>
        <w:pStyle w:val="BodyText"/>
        <w:spacing w:before="3"/>
        <w:rPr>
          <w:sz w:val="29"/>
        </w:rPr>
      </w:pPr>
    </w:p>
    <w:p>
      <w:pPr>
        <w:pStyle w:val="Heading1"/>
        <w:rPr>
          <w:u w:val="none"/>
        </w:rPr>
      </w:pPr>
      <w:r>
        <w:rPr>
          <w:color w:val="231F20"/>
          <w:u w:val="thick" w:color="231F20"/>
        </w:rPr>
        <w:t>MORE INFORMATION:</w:t>
      </w:r>
    </w:p>
    <w:p>
      <w:pPr>
        <w:pStyle w:val="BodyText"/>
        <w:spacing w:line="247" w:lineRule="auto" w:before="2"/>
        <w:ind w:left="112" w:right="216" w:firstLine="9"/>
      </w:pPr>
      <w:r>
        <w:rPr>
          <w:color w:val="231F20"/>
        </w:rPr>
        <w:t>The general state assessment also allows the student to use supports during instruction and during assessment. In order to justify appropriateness of the accommodations for any state mandated tests, the testing accommodations must be used consistently as part of routine instruction and classroom assessment as well as meet all additional requirements established by the Inclusion of Special Populations in the State-required Assessment and Accountability Programs, 703 KAR 5:070 document.</w:t>
      </w:r>
    </w:p>
    <w:p>
      <w:pPr>
        <w:pStyle w:val="BodyText"/>
        <w:spacing w:before="10"/>
        <w:rPr>
          <w:sz w:val="25"/>
        </w:rPr>
      </w:pPr>
    </w:p>
    <w:p>
      <w:pPr>
        <w:pStyle w:val="BodyText"/>
        <w:spacing w:line="247" w:lineRule="auto"/>
        <w:ind w:left="112" w:firstLine="9"/>
      </w:pPr>
      <w:r>
        <w:rPr>
          <w:color w:val="231F20"/>
        </w:rPr>
        <w:t>The Inclusion of Special Populations document can be found on the KDE website at: </w:t>
      </w:r>
      <w:r>
        <w:rPr>
          <w:color w:val="231F20"/>
          <w:u w:val="single" w:color="231F20"/>
        </w:rPr>
        <w:t>Administration Code Training</w:t>
      </w:r>
    </w:p>
    <w:p>
      <w:pPr>
        <w:pStyle w:val="BodyText"/>
        <w:spacing w:before="6"/>
        <w:rPr>
          <w:sz w:val="22"/>
        </w:rPr>
      </w:pPr>
    </w:p>
    <w:p>
      <w:pPr>
        <w:pStyle w:val="Heading1"/>
        <w:spacing w:before="90"/>
        <w:rPr>
          <w:u w:val="none"/>
        </w:rPr>
      </w:pPr>
      <w:r>
        <w:rPr>
          <w:color w:val="231F20"/>
          <w:u w:val="thick" w:color="231F20"/>
        </w:rPr>
        <w:t>QUESTION:</w:t>
      </w:r>
    </w:p>
    <w:p>
      <w:pPr>
        <w:pStyle w:val="BodyText"/>
        <w:spacing w:before="4"/>
        <w:ind w:left="122"/>
      </w:pPr>
      <w:r>
        <w:rPr>
          <w:color w:val="231F20"/>
        </w:rPr>
        <w:t>How are accommodations for my student to use on the alternate assessment determined?</w:t>
      </w:r>
    </w:p>
    <w:p>
      <w:pPr>
        <w:pStyle w:val="BodyText"/>
        <w:spacing w:before="1"/>
        <w:rPr>
          <w:sz w:val="31"/>
        </w:rPr>
      </w:pPr>
    </w:p>
    <w:p>
      <w:pPr>
        <w:pStyle w:val="Heading1"/>
        <w:rPr>
          <w:u w:val="none"/>
        </w:rPr>
      </w:pPr>
      <w:r>
        <w:rPr>
          <w:color w:val="231F20"/>
          <w:u w:val="thick" w:color="231F20"/>
        </w:rPr>
        <w:t>ANSWER:</w:t>
      </w:r>
    </w:p>
    <w:p>
      <w:pPr>
        <w:pStyle w:val="BodyText"/>
        <w:spacing w:line="247" w:lineRule="auto" w:before="2"/>
        <w:ind w:left="112" w:right="116" w:firstLine="9"/>
      </w:pPr>
      <w:r>
        <w:rPr>
          <w:color w:val="231F20"/>
        </w:rPr>
        <w:t>The ARC must determine accommodations needed based on your individual student’s needs. The purpose of accommodations on assessment is to allow your child’s score to reflect what he/she has learned from the general curriculum. Accommodations must be related to your child’s disability, with evaluation data to support them. They must be documented on the IEP and used as part of the regular instructional routine. Accommodations cannot be used just for testing purposes. The IEP must be written to help your child gain skills needed to be successful on the general curriculum, therefore accommodations are determined annually. As your child’s skills improve, his/her reliance on specific accommodations may be reduced.</w:t>
      </w:r>
    </w:p>
    <w:p>
      <w:pPr>
        <w:pStyle w:val="BodyText"/>
        <w:spacing w:line="247" w:lineRule="auto" w:before="1"/>
        <w:ind w:left="112" w:right="177"/>
      </w:pPr>
      <w:r>
        <w:rPr>
          <w:color w:val="231F20"/>
        </w:rPr>
        <w:t>For example, a child whose disability requires them to need grade-level material read aloud to them, may over the course of time gain reading skills to the level that will allow use of a reader to be reduced for some assignments and faded out. Accommodations are not intended to be a replacement for instruction or use of assistive technology. In writing the IEP, the ARC may discuss ways to reduce the use of accommodations over time.</w:t>
      </w:r>
    </w:p>
    <w:p>
      <w:pPr>
        <w:pStyle w:val="BodyText"/>
        <w:spacing w:line="247" w:lineRule="auto" w:before="6"/>
        <w:ind w:left="112" w:right="121" w:firstLine="9"/>
      </w:pPr>
      <w:r>
        <w:rPr>
          <w:color w:val="231F20"/>
        </w:rPr>
        <w:t>The IEP will include a statement explaining any accommodations your child will use on state and district-wide testing.</w:t>
      </w:r>
    </w:p>
    <w:p>
      <w:pPr>
        <w:pStyle w:val="BodyText"/>
        <w:spacing w:before="5"/>
        <w:rPr>
          <w:sz w:val="30"/>
        </w:rPr>
      </w:pPr>
    </w:p>
    <w:p>
      <w:pPr>
        <w:pStyle w:val="Heading1"/>
        <w:rPr>
          <w:u w:val="none"/>
        </w:rPr>
      </w:pPr>
      <w:r>
        <w:rPr>
          <w:color w:val="231F20"/>
          <w:u w:val="thick" w:color="231F20"/>
        </w:rPr>
        <w:t>QUESTION:</w:t>
      </w:r>
    </w:p>
    <w:p>
      <w:pPr>
        <w:pStyle w:val="BodyText"/>
        <w:spacing w:before="2"/>
        <w:ind w:left="122"/>
      </w:pPr>
      <w:r>
        <w:rPr>
          <w:color w:val="231F20"/>
        </w:rPr>
        <w:t>Can my child receive a diploma if they participate in the Alternate Assessment?</w:t>
      </w:r>
    </w:p>
    <w:p>
      <w:pPr>
        <w:pStyle w:val="BodyText"/>
        <w:rPr>
          <w:sz w:val="31"/>
        </w:rPr>
      </w:pPr>
    </w:p>
    <w:p>
      <w:pPr>
        <w:pStyle w:val="Heading1"/>
        <w:rPr>
          <w:u w:val="none"/>
        </w:rPr>
      </w:pPr>
      <w:r>
        <w:rPr>
          <w:color w:val="231F20"/>
          <w:u w:val="thick" w:color="231F20"/>
        </w:rPr>
        <w:t>ANSWER:</w:t>
      </w:r>
    </w:p>
    <w:p>
      <w:pPr>
        <w:pStyle w:val="BodyText"/>
        <w:spacing w:line="247" w:lineRule="auto" w:before="4"/>
        <w:ind w:left="112" w:right="148" w:firstLine="9"/>
      </w:pPr>
      <w:r>
        <w:rPr>
          <w:color w:val="231F20"/>
        </w:rPr>
        <w:t>The ARC must determine if a student’s demonstrated cognitive ability and adaptive behavior prevents completion of the general education course of study even with program modifications and/or accommodations.  The ARC using a variety of data and information such as the Participation Guidelines for the Alternate Assessment, psycho-educational</w:t>
      </w:r>
    </w:p>
    <w:p>
      <w:pPr>
        <w:spacing w:after="0" w:line="247" w:lineRule="auto"/>
        <w:sectPr>
          <w:footerReference w:type="default" r:id="rId9"/>
          <w:pgSz w:w="12240" w:h="15840"/>
          <w:pgMar w:footer="984" w:header="0" w:top="1360" w:bottom="1180" w:left="1700" w:right="1320"/>
          <w:pgNumType w:start="11"/>
        </w:sectPr>
      </w:pPr>
    </w:p>
    <w:p>
      <w:pPr>
        <w:pStyle w:val="BodyText"/>
        <w:spacing w:line="247" w:lineRule="auto" w:before="76"/>
        <w:ind w:left="112" w:right="143"/>
      </w:pPr>
      <w:r>
        <w:rPr>
          <w:color w:val="231F20"/>
        </w:rPr>
        <w:t>integrated report, the Learner Characteristics Inventory (LCI), student work, student observations and any other relevant information makes this determination. If this is the case, the ARC must determine the student would not be able to complete the general education course of study to earn a regular high school diploma and would therefore complete an alternate course of study to receive an Alternative High School Diploma as stated in Kentucky Regulations 704 KAR 3:305 (section 8).</w:t>
      </w:r>
    </w:p>
    <w:p>
      <w:pPr>
        <w:pStyle w:val="BodyText"/>
        <w:spacing w:before="3"/>
        <w:rPr>
          <w:sz w:val="30"/>
        </w:rPr>
      </w:pPr>
    </w:p>
    <w:p>
      <w:pPr>
        <w:pStyle w:val="Heading1"/>
        <w:spacing w:before="1"/>
        <w:rPr>
          <w:u w:val="none"/>
        </w:rPr>
      </w:pPr>
      <w:r>
        <w:rPr>
          <w:color w:val="231F20"/>
          <w:u w:val="thick" w:color="231F20"/>
        </w:rPr>
        <w:t>MORE INFORMATION:</w:t>
      </w:r>
    </w:p>
    <w:p>
      <w:pPr>
        <w:pStyle w:val="BodyText"/>
        <w:spacing w:line="247" w:lineRule="auto" w:before="2"/>
        <w:ind w:left="112" w:right="127" w:firstLine="9"/>
      </w:pPr>
      <w:r>
        <w:rPr>
          <w:color w:val="231F20"/>
        </w:rPr>
        <w:t>Participating in the alternate assessment does not preclude a student with the most significant cognitive disabilities from attempting to complete the requirements for a regular high school diploma as stated in the Every Student Succeeds Act, Title I, Section 1111 (b)(2)(D)(i)(VI).</w:t>
      </w:r>
    </w:p>
    <w:p>
      <w:pPr>
        <w:pStyle w:val="BodyText"/>
        <w:spacing w:before="4"/>
        <w:rPr>
          <w:sz w:val="30"/>
        </w:rPr>
      </w:pPr>
    </w:p>
    <w:p>
      <w:pPr>
        <w:pStyle w:val="Heading1"/>
        <w:rPr>
          <w:u w:val="none"/>
        </w:rPr>
      </w:pPr>
      <w:r>
        <w:rPr>
          <w:color w:val="231F20"/>
          <w:u w:val="thick" w:color="231F20"/>
        </w:rPr>
        <w:t>QUESTION:</w:t>
      </w:r>
    </w:p>
    <w:p>
      <w:pPr>
        <w:pStyle w:val="BodyText"/>
        <w:spacing w:line="247" w:lineRule="auto" w:before="1"/>
        <w:ind w:left="112" w:right="580" w:firstLine="9"/>
      </w:pPr>
      <w:r>
        <w:rPr>
          <w:color w:val="231F20"/>
        </w:rPr>
        <w:t>When does my child have the opportunity to work on functional (life) skills listed on the IEP?</w:t>
      </w:r>
    </w:p>
    <w:p>
      <w:pPr>
        <w:pStyle w:val="BodyText"/>
        <w:spacing w:before="4"/>
        <w:rPr>
          <w:sz w:val="30"/>
        </w:rPr>
      </w:pPr>
    </w:p>
    <w:p>
      <w:pPr>
        <w:pStyle w:val="Heading1"/>
        <w:rPr>
          <w:u w:val="none"/>
        </w:rPr>
      </w:pPr>
      <w:r>
        <w:rPr>
          <w:color w:val="231F20"/>
          <w:u w:val="thick" w:color="231F20"/>
        </w:rPr>
        <w:t>ANSWER:</w:t>
      </w:r>
    </w:p>
    <w:p>
      <w:pPr>
        <w:pStyle w:val="BodyText"/>
        <w:spacing w:line="244" w:lineRule="auto" w:before="4"/>
        <w:ind w:left="112" w:right="143" w:firstLine="9"/>
      </w:pPr>
      <w:r>
        <w:rPr>
          <w:color w:val="231F20"/>
        </w:rPr>
        <w:t>All teachers should look at the functional application of all learning. This is especially true for the student with significant cognitive disabilities. Functional skills can be embedded in much of the academic instruction. When an IEP skill cannot be taught within the academic instruction, time should be set aside to teach this skill as necessary. Once a student has completed the state alternate assessment required in 12</w:t>
      </w:r>
      <w:r>
        <w:rPr>
          <w:color w:val="231F20"/>
          <w:position w:val="9"/>
          <w:sz w:val="16"/>
        </w:rPr>
        <w:t>th </w:t>
      </w:r>
      <w:r>
        <w:rPr>
          <w:color w:val="231F20"/>
        </w:rPr>
        <w:t>grade the student can then concentrate solely on transition into life skills until age 21.</w:t>
      </w:r>
    </w:p>
    <w:p>
      <w:pPr>
        <w:pStyle w:val="BodyText"/>
        <w:spacing w:before="6"/>
        <w:rPr>
          <w:sz w:val="30"/>
        </w:rPr>
      </w:pPr>
    </w:p>
    <w:p>
      <w:pPr>
        <w:pStyle w:val="Heading1"/>
        <w:spacing w:before="1"/>
        <w:rPr>
          <w:u w:val="none"/>
        </w:rPr>
      </w:pPr>
      <w:r>
        <w:rPr>
          <w:color w:val="231F20"/>
          <w:u w:val="thick" w:color="231F20"/>
        </w:rPr>
        <w:t>MORE INFORMATION:</w:t>
      </w:r>
    </w:p>
    <w:p>
      <w:pPr>
        <w:pStyle w:val="BodyText"/>
        <w:spacing w:line="247" w:lineRule="auto" w:before="2"/>
        <w:ind w:left="112" w:right="150" w:firstLine="9"/>
      </w:pPr>
      <w:r>
        <w:rPr>
          <w:color w:val="231F20"/>
        </w:rPr>
        <w:t>Following the grade level standards that are designed for all students to help ensure that a sequence of skills are taught as the student moves from elementary to middle and on to high school, teachers can individualize the instruction and expectations to meet the needs of the student while following the curriculum. As teachers individualize the instruction and expectations they can emphasize functional and IEP skills.  For example, when an elementary student is learning about measurement of liquids, the student can learn to measure liquids for cooking or doing laundry.  When a middle school class is studying fiction and nonfiction, the student can learn to identify nonfiction materials (e.g., cookbooks, newspapers, etc.) and fiction (novels on tape). When high school students are studying about chemical reactions the student is able to focus on which household chemicals to avoid mixing.</w:t>
      </w:r>
    </w:p>
    <w:p>
      <w:pPr>
        <w:pStyle w:val="BodyText"/>
        <w:spacing w:before="4"/>
        <w:rPr>
          <w:sz w:val="30"/>
        </w:rPr>
      </w:pPr>
    </w:p>
    <w:p>
      <w:pPr>
        <w:pStyle w:val="Heading1"/>
        <w:rPr>
          <w:u w:val="none"/>
        </w:rPr>
      </w:pPr>
      <w:r>
        <w:rPr>
          <w:color w:val="231F20"/>
          <w:u w:val="thick" w:color="231F20"/>
        </w:rPr>
        <w:t>QUESTION:</w:t>
      </w:r>
    </w:p>
    <w:p>
      <w:pPr>
        <w:pStyle w:val="BodyText"/>
        <w:spacing w:before="2"/>
        <w:ind w:left="122"/>
      </w:pPr>
      <w:r>
        <w:rPr>
          <w:color w:val="231F20"/>
        </w:rPr>
        <w:t>What happens if it is determined that my child needs to stay at a grade more than one year?</w:t>
      </w:r>
    </w:p>
    <w:p>
      <w:pPr>
        <w:pStyle w:val="BodyText"/>
        <w:rPr>
          <w:sz w:val="31"/>
        </w:rPr>
      </w:pPr>
    </w:p>
    <w:p>
      <w:pPr>
        <w:pStyle w:val="Heading1"/>
        <w:spacing w:before="1"/>
        <w:rPr>
          <w:u w:val="none"/>
        </w:rPr>
      </w:pPr>
      <w:r>
        <w:rPr>
          <w:color w:val="231F20"/>
          <w:u w:val="thick" w:color="231F20"/>
        </w:rPr>
        <w:t>ANSWER:</w:t>
      </w:r>
    </w:p>
    <w:p>
      <w:pPr>
        <w:pStyle w:val="BodyText"/>
        <w:spacing w:line="247" w:lineRule="auto" w:before="5"/>
        <w:ind w:left="112" w:right="1094" w:firstLine="9"/>
      </w:pPr>
      <w:r>
        <w:rPr>
          <w:color w:val="231F20"/>
        </w:rPr>
        <w:t>The student would be recorded in that grade again on the school records and would participate in the grade level alternate assessment again.</w:t>
      </w:r>
    </w:p>
    <w:p>
      <w:pPr>
        <w:spacing w:after="0" w:line="247" w:lineRule="auto"/>
        <w:sectPr>
          <w:pgSz w:w="12240" w:h="15840"/>
          <w:pgMar w:header="0" w:footer="984" w:top="1360" w:bottom="1180" w:left="1700" w:right="1320"/>
        </w:sectPr>
      </w:pPr>
    </w:p>
    <w:p>
      <w:pPr>
        <w:pStyle w:val="BodyText"/>
        <w:spacing w:before="6"/>
        <w:rPr>
          <w:sz w:val="16"/>
        </w:rPr>
      </w:pPr>
    </w:p>
    <w:p>
      <w:pPr>
        <w:pStyle w:val="Heading1"/>
        <w:spacing w:before="90"/>
        <w:rPr>
          <w:u w:val="none"/>
        </w:rPr>
      </w:pPr>
      <w:r>
        <w:rPr>
          <w:color w:val="231F20"/>
          <w:u w:val="thick" w:color="231F20"/>
        </w:rPr>
        <w:t>MORE INFORMATION:</w:t>
      </w:r>
    </w:p>
    <w:p>
      <w:pPr>
        <w:pStyle w:val="BodyText"/>
        <w:spacing w:line="247" w:lineRule="auto" w:before="2"/>
        <w:ind w:left="112" w:right="143" w:firstLine="9"/>
      </w:pPr>
      <w:r>
        <w:rPr>
          <w:color w:val="231F20"/>
        </w:rPr>
        <w:t>Retaining a student is an ARC decision and should be made on an individual basis, not as a school policy (e.g., a school keeps all students an extra year at any given grade level). When the student completes all high school assessments then the student can use the remaining years, to age 21, to work on transition life skills. Upon completion of 12 years of assessment a student should be coded as grade 14 and focus only on those transitional skills mentioned earlier in this passage.</w:t>
      </w:r>
    </w:p>
    <w:p>
      <w:pPr>
        <w:pStyle w:val="BodyText"/>
        <w:spacing w:before="6"/>
        <w:rPr>
          <w:sz w:val="28"/>
        </w:rPr>
      </w:pPr>
    </w:p>
    <w:p>
      <w:pPr>
        <w:pStyle w:val="Heading1"/>
        <w:rPr>
          <w:u w:val="none"/>
        </w:rPr>
      </w:pPr>
      <w:r>
        <w:rPr>
          <w:color w:val="231F20"/>
          <w:u w:val="thick" w:color="231F20"/>
        </w:rPr>
        <w:t>QUESTION:</w:t>
      </w:r>
    </w:p>
    <w:p>
      <w:pPr>
        <w:pStyle w:val="BodyText"/>
        <w:spacing w:before="5"/>
        <w:ind w:left="122"/>
      </w:pPr>
      <w:r>
        <w:rPr>
          <w:color w:val="231F20"/>
        </w:rPr>
        <w:t>Where can I find more information on the Alternate Assessment Participation Guidelines?</w:t>
      </w:r>
    </w:p>
    <w:p>
      <w:pPr>
        <w:pStyle w:val="BodyText"/>
        <w:spacing w:before="1"/>
        <w:rPr>
          <w:sz w:val="31"/>
        </w:rPr>
      </w:pPr>
    </w:p>
    <w:p>
      <w:pPr>
        <w:pStyle w:val="Heading1"/>
        <w:spacing w:before="1"/>
        <w:rPr>
          <w:u w:val="none"/>
        </w:rPr>
      </w:pPr>
      <w:r>
        <w:rPr>
          <w:color w:val="231F20"/>
          <w:u w:val="thick" w:color="231F20"/>
        </w:rPr>
        <w:t>ANSWER:</w:t>
      </w:r>
    </w:p>
    <w:p>
      <w:pPr>
        <w:pStyle w:val="BodyText"/>
        <w:spacing w:line="247" w:lineRule="auto" w:before="2"/>
        <w:ind w:left="112" w:right="203" w:firstLine="9"/>
      </w:pPr>
      <w:r>
        <w:rPr>
          <w:color w:val="231F20"/>
        </w:rPr>
        <w:t>More guidance on the Alternate Assessment Participation Guidelines can be found in the Guidance for Admission and Release Committees (ARCs) on Participation Decisions for the Kentucky Alternate Assessment document located on the KDE website.</w:t>
      </w:r>
    </w:p>
    <w:sectPr>
      <w:pgSz w:w="12240" w:h="15840"/>
      <w:pgMar w:header="0" w:footer="984" w:top="1500" w:bottom="1180" w:left="1700" w:right="13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Symbol">
    <w:altName w:val="Symbol"/>
    <w:charset w:val="2"/>
    <w:family w:val="roman"/>
    <w:pitch w:val="variable"/>
  </w:font>
  <w:font w:name="Calibri">
    <w:altName w:val="Calibri"/>
    <w:charset w:val="0"/>
    <w:family w:val="swiss"/>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type id="_x0000_t202" o:spt="202" coordsize="21600,21600" path="m,l,21600r21600,l21600,xe">
          <v:stroke joinstyle="miter"/>
          <v:path gradientshapeok="t" o:connecttype="rect"/>
        </v:shapetype>
        <v:shape style="position:absolute;margin-left:275.429993pt;margin-top:702.776001pt;width:266.1pt;height:13.05pt;mso-position-horizontal-relative:page;mso-position-vertical-relative:page;z-index:-8536" type="#_x0000_t202" filled="false" stroked="false">
          <v:textbox inset="0,0,0,0">
            <w:txbxContent>
              <w:p>
                <w:pPr>
                  <w:spacing w:line="245" w:lineRule="exact" w:before="0"/>
                  <w:ind w:left="20" w:right="0" w:firstLine="0"/>
                  <w:jc w:val="left"/>
                  <w:rPr>
                    <w:rFonts w:ascii="Calibri"/>
                    <w:sz w:val="22"/>
                  </w:rPr>
                </w:pPr>
                <w:r>
                  <w:rPr>
                    <w:rFonts w:ascii="Calibri"/>
                    <w:color w:val="231F20"/>
                    <w:sz w:val="22"/>
                  </w:rPr>
                  <w:t>Alternate K-PREP Parent Guide [KDE:OTL:DLS:ts:1-31-2017]</w:t>
                </w:r>
              </w:p>
            </w:txbxContent>
          </v:textbox>
          <w10:wrap type="non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32.961121pt;margin-top:731.817505pt;width:9.6pt;height:13.05pt;mso-position-horizontal-relative:page;mso-position-vertical-relative:page;z-index:-8512" type="#_x0000_t202" filled="false" stroked="false">
          <v:textbox inset="0,0,0,0">
            <w:txbxContent>
              <w:p>
                <w:pPr>
                  <w:spacing w:line="245" w:lineRule="exact" w:before="0"/>
                  <w:ind w:left="40" w:right="0" w:firstLine="0"/>
                  <w:jc w:val="left"/>
                  <w:rPr>
                    <w:rFonts w:ascii="Calibri"/>
                    <w:sz w:val="22"/>
                  </w:rPr>
                </w:pPr>
                <w:r>
                  <w:rPr/>
                  <w:fldChar w:fldCharType="begin"/>
                </w:r>
                <w:r>
                  <w:rPr>
                    <w:rFonts w:ascii="Calibri"/>
                    <w:color w:val="231F20"/>
                    <w:w w:val="100"/>
                    <w:sz w:val="22"/>
                  </w:rPr>
                  <w:instrText> PAGE </w:instrText>
                </w:r>
                <w:r>
                  <w:rPr/>
                  <w:fldChar w:fldCharType="separate"/>
                </w:r>
                <w:r>
                  <w:rPr/>
                  <w:t>2</w:t>
                </w:r>
                <w:r>
                  <w:rPr/>
                  <w:fldChar w:fldCharType="end"/>
                </w:r>
              </w:p>
            </w:txbxContent>
          </v:textbox>
          <w10:wrap type="non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28.320984pt;margin-top:731.817505pt;width:13.3pt;height:13.05pt;mso-position-horizontal-relative:page;mso-position-vertical-relative:page;z-index:-8488" type="#_x0000_t202" filled="false" stroked="false">
          <v:textbox inset="0,0,0,0">
            <w:txbxContent>
              <w:p>
                <w:pPr>
                  <w:spacing w:line="245" w:lineRule="exact" w:before="0"/>
                  <w:ind w:left="20" w:right="0" w:firstLine="0"/>
                  <w:jc w:val="left"/>
                  <w:rPr>
                    <w:rFonts w:ascii="Calibri"/>
                    <w:sz w:val="22"/>
                  </w:rPr>
                </w:pPr>
                <w:r>
                  <w:rPr>
                    <w:rFonts w:ascii="Calibri"/>
                    <w:color w:val="231F20"/>
                    <w:sz w:val="22"/>
                  </w:rPr>
                  <w:t>10</w:t>
                </w:r>
              </w:p>
            </w:txbxContent>
          </v:textbox>
          <w10:wrap type="non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27.320984pt;margin-top:731.817505pt;width:15.3pt;height:13.05pt;mso-position-horizontal-relative:page;mso-position-vertical-relative:page;z-index:-8464" type="#_x0000_t202" filled="false" stroked="false">
          <v:textbox inset="0,0,0,0">
            <w:txbxContent>
              <w:p>
                <w:pPr>
                  <w:spacing w:line="245" w:lineRule="exact" w:before="0"/>
                  <w:ind w:left="40" w:right="0" w:firstLine="0"/>
                  <w:jc w:val="left"/>
                  <w:rPr>
                    <w:rFonts w:ascii="Calibri"/>
                    <w:sz w:val="22"/>
                  </w:rPr>
                </w:pPr>
                <w:r>
                  <w:rPr/>
                  <w:fldChar w:fldCharType="begin"/>
                </w:r>
                <w:r>
                  <w:rPr>
                    <w:rFonts w:ascii="Calibri"/>
                    <w:color w:val="231F20"/>
                    <w:sz w:val="22"/>
                  </w:rPr>
                  <w:instrText> PAGE </w:instrText>
                </w:r>
                <w:r>
                  <w:rPr/>
                  <w:fldChar w:fldCharType="separate"/>
                </w:r>
                <w:r>
                  <w:rPr/>
                  <w:t>11</w:t>
                </w:r>
                <w:r>
                  <w:rPr/>
                  <w:fldChar w:fldCharType="end"/>
                </w:r>
              </w:p>
            </w:txbxContent>
          </v:textbox>
          <w10:wrap type="none"/>
        </v:shape>
      </w:pic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0"/>
      <w:numFmt w:val="bullet"/>
      <w:lvlText w:val=""/>
      <w:lvlJc w:val="left"/>
      <w:pPr>
        <w:ind w:left="842" w:hanging="360"/>
      </w:pPr>
      <w:rPr>
        <w:rFonts w:hint="default" w:ascii="Symbol" w:hAnsi="Symbol" w:eastAsia="Symbol" w:cs="Symbol"/>
        <w:color w:val="231F20"/>
        <w:w w:val="100"/>
        <w:sz w:val="24"/>
        <w:szCs w:val="24"/>
      </w:rPr>
    </w:lvl>
    <w:lvl w:ilvl="1">
      <w:start w:val="0"/>
      <w:numFmt w:val="bullet"/>
      <w:lvlText w:val="•"/>
      <w:lvlJc w:val="left"/>
      <w:pPr>
        <w:ind w:left="1678" w:hanging="360"/>
      </w:pPr>
      <w:rPr>
        <w:rFonts w:hint="default"/>
      </w:rPr>
    </w:lvl>
    <w:lvl w:ilvl="2">
      <w:start w:val="0"/>
      <w:numFmt w:val="bullet"/>
      <w:lvlText w:val="•"/>
      <w:lvlJc w:val="left"/>
      <w:pPr>
        <w:ind w:left="2516" w:hanging="360"/>
      </w:pPr>
      <w:rPr>
        <w:rFonts w:hint="default"/>
      </w:rPr>
    </w:lvl>
    <w:lvl w:ilvl="3">
      <w:start w:val="0"/>
      <w:numFmt w:val="bullet"/>
      <w:lvlText w:val="•"/>
      <w:lvlJc w:val="left"/>
      <w:pPr>
        <w:ind w:left="3354" w:hanging="360"/>
      </w:pPr>
      <w:rPr>
        <w:rFonts w:hint="default"/>
      </w:rPr>
    </w:lvl>
    <w:lvl w:ilvl="4">
      <w:start w:val="0"/>
      <w:numFmt w:val="bullet"/>
      <w:lvlText w:val="•"/>
      <w:lvlJc w:val="left"/>
      <w:pPr>
        <w:ind w:left="4192" w:hanging="360"/>
      </w:pPr>
      <w:rPr>
        <w:rFonts w:hint="default"/>
      </w:rPr>
    </w:lvl>
    <w:lvl w:ilvl="5">
      <w:start w:val="0"/>
      <w:numFmt w:val="bullet"/>
      <w:lvlText w:val="•"/>
      <w:lvlJc w:val="left"/>
      <w:pPr>
        <w:ind w:left="5030" w:hanging="360"/>
      </w:pPr>
      <w:rPr>
        <w:rFonts w:hint="default"/>
      </w:rPr>
    </w:lvl>
    <w:lvl w:ilvl="6">
      <w:start w:val="0"/>
      <w:numFmt w:val="bullet"/>
      <w:lvlText w:val="•"/>
      <w:lvlJc w:val="left"/>
      <w:pPr>
        <w:ind w:left="5868" w:hanging="360"/>
      </w:pPr>
      <w:rPr>
        <w:rFonts w:hint="default"/>
      </w:rPr>
    </w:lvl>
    <w:lvl w:ilvl="7">
      <w:start w:val="0"/>
      <w:numFmt w:val="bullet"/>
      <w:lvlText w:val="•"/>
      <w:lvlJc w:val="left"/>
      <w:pPr>
        <w:ind w:left="6706" w:hanging="360"/>
      </w:pPr>
      <w:rPr>
        <w:rFonts w:hint="default"/>
      </w:rPr>
    </w:lvl>
    <w:lvl w:ilvl="8">
      <w:start w:val="0"/>
      <w:numFmt w:val="bullet"/>
      <w:lvlText w:val="•"/>
      <w:lvlJc w:val="left"/>
      <w:pPr>
        <w:ind w:left="7544" w:hanging="360"/>
      </w:pPr>
      <w:rPr>
        <w:rFonts w:hint="default"/>
      </w:rPr>
    </w:lvl>
  </w:abstractNum>
  <w:abstractNum w:abstractNumId="0">
    <w:multiLevelType w:val="hybridMultilevel"/>
    <w:lvl w:ilvl="0">
      <w:start w:val="1"/>
      <w:numFmt w:val="decimal"/>
      <w:lvlText w:val="%1."/>
      <w:lvlJc w:val="left"/>
      <w:pPr>
        <w:ind w:left="842" w:hanging="360"/>
        <w:jc w:val="left"/>
      </w:pPr>
      <w:rPr>
        <w:rFonts w:hint="default" w:ascii="Times New Roman" w:hAnsi="Times New Roman" w:eastAsia="Times New Roman" w:cs="Times New Roman"/>
        <w:color w:val="231F20"/>
        <w:spacing w:val="-2"/>
        <w:w w:val="99"/>
        <w:sz w:val="24"/>
        <w:szCs w:val="24"/>
      </w:rPr>
    </w:lvl>
    <w:lvl w:ilvl="1">
      <w:start w:val="0"/>
      <w:numFmt w:val="bullet"/>
      <w:lvlText w:val="•"/>
      <w:lvlJc w:val="left"/>
      <w:pPr>
        <w:ind w:left="1678" w:hanging="360"/>
      </w:pPr>
      <w:rPr>
        <w:rFonts w:hint="default"/>
      </w:rPr>
    </w:lvl>
    <w:lvl w:ilvl="2">
      <w:start w:val="0"/>
      <w:numFmt w:val="bullet"/>
      <w:lvlText w:val="•"/>
      <w:lvlJc w:val="left"/>
      <w:pPr>
        <w:ind w:left="2516" w:hanging="360"/>
      </w:pPr>
      <w:rPr>
        <w:rFonts w:hint="default"/>
      </w:rPr>
    </w:lvl>
    <w:lvl w:ilvl="3">
      <w:start w:val="0"/>
      <w:numFmt w:val="bullet"/>
      <w:lvlText w:val="•"/>
      <w:lvlJc w:val="left"/>
      <w:pPr>
        <w:ind w:left="3354" w:hanging="360"/>
      </w:pPr>
      <w:rPr>
        <w:rFonts w:hint="default"/>
      </w:rPr>
    </w:lvl>
    <w:lvl w:ilvl="4">
      <w:start w:val="0"/>
      <w:numFmt w:val="bullet"/>
      <w:lvlText w:val="•"/>
      <w:lvlJc w:val="left"/>
      <w:pPr>
        <w:ind w:left="4192" w:hanging="360"/>
      </w:pPr>
      <w:rPr>
        <w:rFonts w:hint="default"/>
      </w:rPr>
    </w:lvl>
    <w:lvl w:ilvl="5">
      <w:start w:val="0"/>
      <w:numFmt w:val="bullet"/>
      <w:lvlText w:val="•"/>
      <w:lvlJc w:val="left"/>
      <w:pPr>
        <w:ind w:left="5030" w:hanging="360"/>
      </w:pPr>
      <w:rPr>
        <w:rFonts w:hint="default"/>
      </w:rPr>
    </w:lvl>
    <w:lvl w:ilvl="6">
      <w:start w:val="0"/>
      <w:numFmt w:val="bullet"/>
      <w:lvlText w:val="•"/>
      <w:lvlJc w:val="left"/>
      <w:pPr>
        <w:ind w:left="5868" w:hanging="360"/>
      </w:pPr>
      <w:rPr>
        <w:rFonts w:hint="default"/>
      </w:rPr>
    </w:lvl>
    <w:lvl w:ilvl="7">
      <w:start w:val="0"/>
      <w:numFmt w:val="bullet"/>
      <w:lvlText w:val="•"/>
      <w:lvlJc w:val="left"/>
      <w:pPr>
        <w:ind w:left="6706" w:hanging="360"/>
      </w:pPr>
      <w:rPr>
        <w:rFonts w:hint="default"/>
      </w:rPr>
    </w:lvl>
    <w:lvl w:ilvl="8">
      <w:start w:val="0"/>
      <w:numFmt w:val="bullet"/>
      <w:lvlText w:val="•"/>
      <w:lvlJc w:val="left"/>
      <w:pPr>
        <w:ind w:left="7544" w:hanging="360"/>
      </w:pPr>
      <w:rPr>
        <w:rFonts w:hint="default"/>
      </w:rPr>
    </w:lvl>
  </w:abstract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ind w:left="122"/>
      <w:outlineLvl w:val="1"/>
    </w:pPr>
    <w:rPr>
      <w:rFonts w:ascii="Times New Roman" w:hAnsi="Times New Roman" w:eastAsia="Times New Roman" w:cs="Times New Roman"/>
      <w:b/>
      <w:bCs/>
      <w:sz w:val="24"/>
      <w:szCs w:val="24"/>
      <w:u w:val="single" w:color="000000"/>
    </w:rPr>
  </w:style>
  <w:style w:styleId="ListParagraph" w:type="paragraph">
    <w:name w:val="List Paragraph"/>
    <w:basedOn w:val="Normal"/>
    <w:uiPriority w:val="1"/>
    <w:qFormat/>
    <w:pPr>
      <w:ind w:left="842" w:right="253" w:hanging="360"/>
    </w:pPr>
    <w:rPr>
      <w:rFonts w:ascii="Times New Roman" w:hAnsi="Times New Roman" w:eastAsia="Times New Roman" w:cs="Times New Roman"/>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jpeg"/><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Kentucky Department of Education</dc:creator>
  <dc:title>Parent Guide to Alternate K-PREP 2018</dc:title>
  <dcterms:created xsi:type="dcterms:W3CDTF">2019-04-25T10:13:21Z</dcterms:created>
  <dcterms:modified xsi:type="dcterms:W3CDTF">2019-04-25T10:13:21Z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2018-02-15T00:00:00Z</vt:filetime>
  </property>
  <property fmtid="{D5CDD505-2E9C-101B-9397-08002B2CF9AE}" pid="3" name="Creator">
    <vt:lpwstr>Microsoft® Word 2013</vt:lpwstr>
  </property>
  <property fmtid="{D5CDD505-2E9C-101B-9397-08002B2CF9AE}" pid="4" name="LastSaved">
    <vt:filetime>2019-04-25T00:00:00Z</vt:filetime>
  </property>
</Properties>
</file>