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4A3" w:rsidRDefault="007254A3" w:rsidP="007254A3">
      <w:pPr>
        <w:jc w:val="center"/>
        <w:rPr>
          <w:rFonts w:ascii="Arial" w:hAnsi="Arial" w:cs="Arial"/>
          <w:b/>
          <w:sz w:val="24"/>
        </w:rPr>
      </w:pPr>
    </w:p>
    <w:p w:rsidR="007254A3" w:rsidRDefault="007254A3" w:rsidP="007254A3">
      <w:pPr>
        <w:jc w:val="center"/>
        <w:rPr>
          <w:rFonts w:ascii="Arial" w:hAnsi="Arial" w:cs="Arial"/>
          <w:b/>
          <w:sz w:val="24"/>
        </w:rPr>
      </w:pPr>
    </w:p>
    <w:p w:rsidR="007254A3" w:rsidRDefault="007254A3" w:rsidP="007254A3">
      <w:pPr>
        <w:jc w:val="center"/>
        <w:rPr>
          <w:rFonts w:ascii="Arial" w:hAnsi="Arial" w:cs="Arial"/>
          <w:b/>
          <w:sz w:val="24"/>
        </w:rPr>
      </w:pPr>
    </w:p>
    <w:p w:rsidR="007254A3" w:rsidRDefault="007254A3" w:rsidP="007254A3">
      <w:pPr>
        <w:jc w:val="center"/>
        <w:rPr>
          <w:rFonts w:ascii="Arial" w:hAnsi="Arial" w:cs="Arial"/>
          <w:b/>
          <w:sz w:val="24"/>
        </w:rPr>
      </w:pPr>
    </w:p>
    <w:p w:rsidR="007254A3" w:rsidRDefault="007254A3" w:rsidP="007254A3">
      <w:pPr>
        <w:jc w:val="center"/>
        <w:rPr>
          <w:rFonts w:ascii="Arial" w:hAnsi="Arial" w:cs="Arial"/>
          <w:b/>
          <w:sz w:val="24"/>
        </w:rPr>
      </w:pPr>
    </w:p>
    <w:p w:rsidR="007254A3" w:rsidRDefault="007254A3" w:rsidP="007254A3">
      <w:pPr>
        <w:jc w:val="center"/>
        <w:rPr>
          <w:rFonts w:ascii="Arial" w:hAnsi="Arial" w:cs="Arial"/>
          <w:b/>
          <w:sz w:val="24"/>
        </w:rPr>
      </w:pPr>
    </w:p>
    <w:p w:rsidR="007254A3" w:rsidRPr="007254A3" w:rsidRDefault="007254A3" w:rsidP="007254A3">
      <w:pPr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  <w:r w:rsidRPr="007254A3">
        <w:rPr>
          <w:rFonts w:ascii="Arial" w:hAnsi="Arial" w:cs="Arial"/>
          <w:b/>
          <w:sz w:val="24"/>
        </w:rPr>
        <w:t>BONDS AND TAX ANTICIPATION NOTES</w:t>
      </w:r>
    </w:p>
    <w:p w:rsidR="007254A3" w:rsidRPr="007254A3" w:rsidRDefault="007254A3" w:rsidP="007254A3">
      <w:pPr>
        <w:jc w:val="both"/>
        <w:rPr>
          <w:rFonts w:ascii="Arial" w:hAnsi="Arial" w:cs="Arial"/>
          <w:sz w:val="24"/>
        </w:rPr>
      </w:pPr>
    </w:p>
    <w:p w:rsidR="007254A3" w:rsidRPr="007254A3" w:rsidRDefault="007254A3" w:rsidP="007254A3">
      <w:pPr>
        <w:jc w:val="both"/>
        <w:rPr>
          <w:rFonts w:ascii="Arial" w:hAnsi="Arial" w:cs="Arial"/>
          <w:sz w:val="24"/>
        </w:rPr>
      </w:pPr>
    </w:p>
    <w:p w:rsidR="007254A3" w:rsidRPr="007254A3" w:rsidRDefault="007254A3" w:rsidP="007254A3">
      <w:pPr>
        <w:jc w:val="both"/>
        <w:rPr>
          <w:rFonts w:ascii="Arial" w:hAnsi="Arial" w:cs="Arial"/>
          <w:sz w:val="24"/>
        </w:rPr>
      </w:pPr>
      <w:r w:rsidRPr="007254A3">
        <w:rPr>
          <w:rFonts w:ascii="Arial" w:hAnsi="Arial" w:cs="Arial"/>
          <w:sz w:val="24"/>
        </w:rPr>
        <w:tab/>
        <w:t>With approval of the Board of Education, the School Business Official may borrow short-term funds by issuing either revenue or tax anticipation notes.</w:t>
      </w:r>
    </w:p>
    <w:p w:rsidR="007254A3" w:rsidRPr="007254A3" w:rsidRDefault="007254A3" w:rsidP="007254A3">
      <w:pPr>
        <w:jc w:val="both"/>
        <w:rPr>
          <w:rFonts w:ascii="Arial" w:hAnsi="Arial" w:cs="Arial"/>
          <w:sz w:val="24"/>
        </w:rPr>
      </w:pPr>
      <w:r w:rsidRPr="007254A3">
        <w:rPr>
          <w:rFonts w:ascii="Arial" w:hAnsi="Arial" w:cs="Arial"/>
          <w:sz w:val="24"/>
        </w:rPr>
        <w:tab/>
      </w:r>
    </w:p>
    <w:p w:rsidR="007254A3" w:rsidRPr="007254A3" w:rsidRDefault="007254A3" w:rsidP="007254A3">
      <w:pPr>
        <w:jc w:val="both"/>
        <w:rPr>
          <w:rFonts w:ascii="Arial" w:hAnsi="Arial" w:cs="Arial"/>
          <w:sz w:val="24"/>
        </w:rPr>
      </w:pPr>
    </w:p>
    <w:p w:rsidR="007254A3" w:rsidRPr="007254A3" w:rsidRDefault="007254A3" w:rsidP="007254A3">
      <w:pPr>
        <w:jc w:val="both"/>
        <w:rPr>
          <w:rFonts w:ascii="Arial" w:hAnsi="Arial" w:cs="Arial"/>
          <w:sz w:val="24"/>
        </w:rPr>
      </w:pPr>
    </w:p>
    <w:p w:rsidR="007254A3" w:rsidRPr="007254A3" w:rsidRDefault="007254A3" w:rsidP="007254A3">
      <w:pPr>
        <w:jc w:val="both"/>
        <w:rPr>
          <w:rFonts w:ascii="Arial" w:hAnsi="Arial" w:cs="Arial"/>
          <w:sz w:val="24"/>
        </w:rPr>
      </w:pPr>
    </w:p>
    <w:p w:rsidR="007254A3" w:rsidRPr="007254A3" w:rsidRDefault="007254A3" w:rsidP="007254A3">
      <w:pPr>
        <w:jc w:val="both"/>
        <w:rPr>
          <w:rFonts w:ascii="Arial" w:hAnsi="Arial" w:cs="Arial"/>
          <w:sz w:val="24"/>
        </w:rPr>
      </w:pPr>
    </w:p>
    <w:p w:rsidR="007254A3" w:rsidRPr="007254A3" w:rsidRDefault="007254A3" w:rsidP="007254A3">
      <w:pPr>
        <w:jc w:val="both"/>
        <w:rPr>
          <w:rFonts w:ascii="Arial" w:hAnsi="Arial" w:cs="Arial"/>
          <w:sz w:val="24"/>
        </w:rPr>
      </w:pPr>
    </w:p>
    <w:p w:rsidR="007254A3" w:rsidRPr="007254A3" w:rsidRDefault="007254A3" w:rsidP="007254A3">
      <w:pPr>
        <w:jc w:val="both"/>
        <w:rPr>
          <w:rFonts w:ascii="Arial" w:hAnsi="Arial" w:cs="Arial"/>
          <w:sz w:val="24"/>
        </w:rPr>
      </w:pPr>
    </w:p>
    <w:p w:rsidR="007254A3" w:rsidRPr="007254A3" w:rsidRDefault="007254A3" w:rsidP="007254A3">
      <w:pPr>
        <w:jc w:val="both"/>
        <w:rPr>
          <w:rFonts w:ascii="Arial" w:hAnsi="Arial" w:cs="Arial"/>
          <w:sz w:val="24"/>
        </w:rPr>
      </w:pPr>
    </w:p>
    <w:p w:rsidR="007254A3" w:rsidRPr="007254A3" w:rsidRDefault="007254A3" w:rsidP="007254A3">
      <w:pPr>
        <w:jc w:val="right"/>
        <w:rPr>
          <w:rFonts w:ascii="Arial" w:hAnsi="Arial" w:cs="Arial"/>
          <w:sz w:val="24"/>
        </w:rPr>
      </w:pPr>
      <w:r w:rsidRPr="007254A3">
        <w:rPr>
          <w:rFonts w:ascii="Arial" w:hAnsi="Arial" w:cs="Arial"/>
          <w:sz w:val="24"/>
        </w:rPr>
        <w:t>Adopted: April 24, 1991</w:t>
      </w:r>
    </w:p>
    <w:p w:rsidR="00320B63" w:rsidRDefault="00320B63"/>
    <w:sectPr w:rsidR="00320B63" w:rsidSect="00320B63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4A3" w:rsidRDefault="007254A3" w:rsidP="007254A3">
      <w:r>
        <w:separator/>
      </w:r>
    </w:p>
  </w:endnote>
  <w:endnote w:type="continuationSeparator" w:id="0">
    <w:p w:rsidR="007254A3" w:rsidRDefault="007254A3" w:rsidP="00725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4A3" w:rsidRDefault="007254A3" w:rsidP="007254A3">
      <w:r>
        <w:separator/>
      </w:r>
    </w:p>
  </w:footnote>
  <w:footnote w:type="continuationSeparator" w:id="0">
    <w:p w:rsidR="007254A3" w:rsidRDefault="007254A3" w:rsidP="007254A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4A3" w:rsidRDefault="007254A3" w:rsidP="007254A3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Policy 6300</w:t>
    </w:r>
  </w:p>
  <w:p w:rsidR="007254A3" w:rsidRPr="007254A3" w:rsidRDefault="007254A3" w:rsidP="007254A3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Fiscal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4A3"/>
    <w:rsid w:val="00320B63"/>
    <w:rsid w:val="0072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4A3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54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4A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254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4A3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4A3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54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4A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254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4A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Macintosh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1</cp:revision>
  <dcterms:created xsi:type="dcterms:W3CDTF">2018-10-26T18:19:00Z</dcterms:created>
  <dcterms:modified xsi:type="dcterms:W3CDTF">2018-10-26T18:21:00Z</dcterms:modified>
</cp:coreProperties>
</file>