
<file path=[Content_Types].xml><?xml version="1.0" encoding="utf-8"?>
<Types xmlns="http://schemas.openxmlformats.org/package/2006/content-types">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mc:Ignorable="w14 wp14">
  <w:body>
    <w:p>
      <w:pPr>
        <w:spacing w:after="0"/>
        <w:rPr>
          <w:rFonts w:ascii="Arial" w:hAnsi="Arial"/>
          <w:color w:val="000000"/>
          <w:sz w:val="22"/>
          <w:szCs w:val="22"/>
          <w:lang w:bidi="ar_SA" w:eastAsia="en_US" w:val="en_US"/>
        </w:rPr>
      </w:pPr>
    </w:p>
    <w:tbl>
      <w:tblPr>
        <w:tblStyle w:val="a"/>
        <w:tblW w:type="dxa" w:w="9006"/>
        <w:tblLook w:val="0400"/>
      </w:tblPr>
      <w:tblGrid>
        <w:gridCol w:w="9006"/>
      </w:tblGrid>
      <w:tr>
        <w:tc>
          <w:tcPr>
            <w:tcW w:type="dxa" w:w="9006"/>
            <w:shd w:color="000000" w:fill="FFFFFF" w:val="clear"/>
            <w:vAlign w:val="center"/>
          </w:tcPr>
          <w:p>
            <w:pPr>
              <w:spacing w:after="0" w:line="240" w:lineRule="auto"/>
              <w:rPr>
                <w:rFonts w:ascii="Calibri" w:hAnsi="Calibri"/>
                <w:b w:val="1"/>
                <w:color w:val="000000"/>
                <w:sz w:val="22"/>
                <w:szCs w:val="22"/>
                <w:lang w:bidi="ar_SA" w:eastAsia="en_US" w:val="en_US"/>
              </w:rPr>
            </w:pPr>
          </w:p>
          <w:p>
            <w:pPr>
              <w:spacing w:after="0"/>
              <w:jc w:val="center"/>
              <w:rPr>
                <w:rFonts w:ascii="Arial" w:hAnsi="Arial"/>
                <w:b w:val="1"/>
                <w:sz w:val="22"/>
                <w:szCs w:val="22"/>
                <w:lang w:bidi="ar_SA" w:eastAsia="en_US" w:val="en_US"/>
              </w:rPr>
            </w:pPr>
            <w:r>
              <w:rPr>
                <w:rFonts w:ascii="Arial" w:hAnsi="Arial"/>
                <w:b w:val="1"/>
              </w:rPr>
              <w:t>ABA GOVERNANCE COUNCIL MEETING AGENDA</w:t>
            </w:r>
            <w:r>
              <w:rPr>
                <w:rFonts w:ascii="Arial" w:hAnsi="Arial"/>
                <w:b w:val="1"/>
              </w:rPr>
              <w:t>(s)</w:t>
            </w:r>
            <w:r>
              <w:rPr>
                <w:rFonts w:ascii="Arial" w:hAnsi="Arial"/>
                <w:b w:val="1"/>
              </w:rPr>
              <w:t xml:space="preserve">  </w:t>
            </w:r>
          </w:p>
          <w:tbl>
            <w:tblPr>
              <w:tblStyle w:val="a0"/>
              <w:tblW w:type="dxa" w:w="8442"/>
              <w:tblLook w:val="0400"/>
            </w:tblPr>
            <w:tblGrid>
              <w:gridCol w:w="8442"/>
            </w:tblGrid>
            <w:tr>
              <w:tc>
                <w:tcPr>
                  <w:tcW w:type="dxa" w:w="8442"/>
                  <w:shd w:color="000000" w:fill="FFFFFF" w:val="clear"/>
                  <w:vAlign w:val="center"/>
                </w:tcPr>
                <w:p>
                  <w:pPr>
                    <w:spacing w:after="0" w:line="240" w:lineRule="auto"/>
                    <w:jc w:val="center"/>
                    <w:rPr>
                      <w:rFonts w:ascii="Arial" w:hAnsi="Arial"/>
                      <w:b w:val="1"/>
                      <w:color w:val="000000"/>
                      <w:sz w:val="22"/>
                      <w:szCs w:val="22"/>
                      <w:lang w:bidi="ar_SA" w:eastAsia="en_US" w:val="en_US"/>
                    </w:rPr>
                  </w:pPr>
                  <w:r>
                    <w:rPr>
                      <w:rFonts w:ascii="Arial" w:hAnsi="Arial"/>
                      <w:b w:val="1"/>
                      <w:color w:val="000000"/>
                    </w:rPr>
                    <w:t xml:space="preserve">Monday, </w:t>
                  </w:r>
                  <w:r>
                    <w:rPr>
                      <w:rFonts w:ascii="Arial" w:hAnsi="Arial"/>
                      <w:b w:val="1"/>
                      <w:color w:val="000000"/>
                    </w:rPr>
                    <w:t>September 28</w:t>
                  </w:r>
                  <w:r>
                    <w:rPr>
                      <w:rFonts w:ascii="Arial" w:hAnsi="Arial"/>
                      <w:b w:val="1"/>
                      <w:color w:val="000000"/>
                    </w:rPr>
                    <w:t>, 2020 5:30 PM</w:t>
                  </w:r>
                </w:p>
                <w:p>
                  <w:pPr>
                    <w:spacing w:after="0" w:line="240" w:lineRule="auto"/>
                    <w:jc w:val="center"/>
                    <w:rPr>
                      <w:rFonts w:ascii="Arial" w:hAnsi="Arial"/>
                      <w:b w:val="1"/>
                      <w:color w:val="000000"/>
                      <w:sz w:val="22"/>
                      <w:szCs w:val="22"/>
                      <w:lang w:bidi="ar_SA" w:eastAsia="en_US" w:val="en_US"/>
                    </w:rPr>
                  </w:pPr>
                  <w:r>
                    <w:rPr>
                      <w:rFonts w:ascii="Arial" w:hAnsi="Arial"/>
                      <w:b w:val="1"/>
                      <w:color w:val="000000"/>
                    </w:rPr>
                    <w:t xml:space="preserve">Albuquerque Bilingual Academy, 7500 La </w:t>
                  </w:r>
                  <w:r>
                    <w:rPr>
                      <w:rFonts w:ascii="Arial" w:hAnsi="Arial"/>
                      <w:b w:val="1"/>
                      <w:color w:val="000000"/>
                    </w:rPr>
                    <w:t>Morada</w:t>
                  </w:r>
                  <w:r>
                    <w:rPr>
                      <w:rFonts w:ascii="Arial" w:hAnsi="Arial"/>
                      <w:b w:val="1"/>
                      <w:color w:val="000000"/>
                    </w:rPr>
                    <w:t xml:space="preserve"> NW, Albuquerque, NM 87120 </w:t>
                  </w:r>
                </w:p>
                <w:p>
                  <w:pPr>
                    <w:spacing w:after="0" w:line="240" w:lineRule="auto"/>
                    <w:jc w:val="center"/>
                    <w:rPr>
                      <w:rFonts w:ascii="Calibri" w:hAnsi="Calibri"/>
                      <w:sz w:val="22"/>
                      <w:szCs w:val="22"/>
                      <w:lang w:bidi="ar_SA" w:eastAsia="en_US" w:val="en_US"/>
                    </w:rPr>
                  </w:pPr>
                  <w:r>
                    <w:rPr>
                      <w:rFonts w:ascii="Arial" w:hAnsi="Arial"/>
                      <w:b w:val="1"/>
                      <w:color w:val="000000"/>
                    </w:rPr>
                    <w:t>09/28</w:t>
                  </w:r>
                  <w:r>
                    <w:rPr>
                      <w:rFonts w:ascii="Arial" w:hAnsi="Arial"/>
                      <w:b w:val="1"/>
                      <w:color w:val="000000"/>
                    </w:rPr>
                    <w:t xml:space="preserve">/2020 Virtual Meeting URL: </w:t>
                  </w:r>
                </w:p>
                <w:p>
                  <w:pPr>
                    <w:tabs>
                      <w:tab w:leader="none" w:pos="3299" w:val="left"/>
                    </w:tabs>
                    <w:rPr>
                      <w:rFonts w:ascii="Calibri" w:hAnsi="Calibri"/>
                      <w:sz w:val="22"/>
                      <w:szCs w:val="22"/>
                      <w:lang w:bidi="ar_SA" w:eastAsia="en_US" w:val="en_US"/>
                    </w:rPr>
                  </w:pPr>
                </w:p>
              </w:tc>
            </w:tr>
          </w:tbl>
          <w:p>
            <w:pPr>
              <w:spacing w:after="0" w:line="240" w:lineRule="auto"/>
              <w:rPr>
                <w:rFonts w:ascii="Calibri" w:hAnsi="Calibri"/>
                <w:b w:val="1"/>
                <w:color w:val="000000"/>
                <w:sz w:val="22"/>
                <w:szCs w:val="22"/>
                <w:lang w:bidi="ar_SA" w:eastAsia="en_US" w:val="en_US"/>
              </w:rPr>
            </w:pPr>
            <w:r>
              <w:rPr>
                <w:b w:val="1"/>
                <w:color w:val="000000"/>
              </w:rPr>
              <w:t xml:space="preserve">ABA  Regular GC Meeting– </w:t>
            </w:r>
            <w:r>
              <w:rPr>
                <w:b w:val="1"/>
                <w:color w:val="000000"/>
              </w:rPr>
              <w:t>September 28</w:t>
            </w:r>
            <w:r>
              <w:rPr>
                <w:b w:val="1"/>
                <w:color w:val="000000"/>
              </w:rPr>
              <w:t>, 2020 5:30 PM</w:t>
            </w:r>
          </w:p>
          <w:p>
            <w:pPr>
              <w:numPr>
                <w:ilvl w:val="0"/>
                <w:numId w:val="1"/>
              </w:numPr>
              <w:spacing w:after="0" w:line="240" w:lineRule="auto"/>
              <w:rPr>
                <w:rFonts w:ascii="Calibri" w:hAnsi="Calibri"/>
                <w:color w:val="000000"/>
                <w:sz w:val="22"/>
                <w:szCs w:val="22"/>
                <w:lang w:bidi="ar_SA" w:eastAsia="en_US" w:val="en_US"/>
              </w:rPr>
            </w:pPr>
            <w:r>
              <w:rPr>
                <w:color w:val="000000"/>
              </w:rPr>
              <w:t xml:space="preserve">Call to Order </w:t>
            </w:r>
          </w:p>
          <w:p>
            <w:pPr>
              <w:numPr>
                <w:ilvl w:val="1"/>
                <w:numId w:val="2"/>
              </w:numPr>
              <w:spacing w:after="0" w:line="240" w:lineRule="auto"/>
              <w:rPr>
                <w:rFonts w:ascii="Calibri" w:hAnsi="Calibri"/>
                <w:color w:val="000000"/>
                <w:sz w:val="22"/>
                <w:szCs w:val="22"/>
                <w:lang w:bidi="ar_SA" w:eastAsia="en_US" w:val="en_US"/>
              </w:rPr>
            </w:pPr>
            <w:r>
              <w:rPr>
                <w:color w:val="000000"/>
              </w:rPr>
              <w:t>Roll Call</w:t>
            </w:r>
          </w:p>
          <w:p>
            <w:pPr>
              <w:numPr>
                <w:ilvl w:val="1"/>
                <w:numId w:val="2"/>
              </w:numPr>
              <w:spacing w:after="0" w:line="240" w:lineRule="auto"/>
              <w:rPr>
                <w:rFonts w:ascii="Calibri" w:hAnsi="Calibri"/>
                <w:color w:val="000000"/>
                <w:sz w:val="22"/>
                <w:szCs w:val="22"/>
                <w:lang w:bidi="ar_SA" w:eastAsia="en_US" w:val="en_US"/>
              </w:rPr>
            </w:pPr>
            <w:r>
              <w:rPr>
                <w:color w:val="000000"/>
              </w:rPr>
              <w:t xml:space="preserve">Approval of </w:t>
            </w:r>
            <w:r>
              <w:rPr>
                <w:color w:val="000000"/>
              </w:rPr>
              <w:t>September 28, 2020</w:t>
            </w:r>
            <w:r>
              <w:rPr>
                <w:color w:val="000000"/>
              </w:rPr>
              <w:t xml:space="preserve"> Meeting Agenda – discussion/action </w:t>
            </w:r>
          </w:p>
          <w:p>
            <w:pPr>
              <w:numPr>
                <w:ilvl w:val="1"/>
                <w:numId w:val="2"/>
              </w:numPr>
              <w:spacing w:after="0" w:line="240" w:lineRule="auto"/>
              <w:rPr>
                <w:rFonts w:ascii="Calibri" w:hAnsi="Calibri"/>
                <w:color w:val="000000"/>
                <w:sz w:val="22"/>
                <w:szCs w:val="22"/>
                <w:lang w:bidi="ar_SA" w:eastAsia="en_US" w:val="en_US"/>
              </w:rPr>
            </w:pPr>
            <w:r>
              <w:rPr>
                <w:color w:val="000000"/>
              </w:rPr>
              <w:t xml:space="preserve">Approval of </w:t>
            </w:r>
            <w:r>
              <w:rPr>
                <w:color w:val="000000"/>
              </w:rPr>
              <w:t xml:space="preserve">August 31, 2020 </w:t>
            </w:r>
            <w:r>
              <w:rPr>
                <w:color w:val="000000"/>
              </w:rPr>
              <w:t>Meeting Minutes– discussion/action</w:t>
            </w:r>
          </w:p>
          <w:p>
            <w:pPr>
              <w:spacing w:after="0" w:line="240" w:lineRule="auto"/>
              <w:rPr>
                <w:rFonts w:ascii="Calibri" w:hAnsi="Calibri"/>
                <w:b w:val="1"/>
                <w:color w:val="000000"/>
                <w:sz w:val="22"/>
                <w:szCs w:val="22"/>
                <w:lang w:bidi="ar_SA" w:eastAsia="en_US" w:val="en_US"/>
              </w:rPr>
            </w:pPr>
            <w:r>
              <w:rPr>
                <w:b w:val="1"/>
                <w:color w:val="000000"/>
              </w:rPr>
              <w:t xml:space="preserve">Consent Agenda </w:t>
            </w:r>
          </w:p>
          <w:p>
            <w:pPr>
              <w:numPr>
                <w:ilvl w:val="0"/>
                <w:numId w:val="6"/>
              </w:numPr>
              <w:spacing w:after="0" w:line="240" w:lineRule="auto"/>
              <w:rPr>
                <w:rFonts w:ascii="Calibri" w:hAnsi="Calibri"/>
                <w:color w:val="000000"/>
                <w:sz w:val="22"/>
                <w:szCs w:val="22"/>
                <w:lang w:bidi="ar_SA" w:eastAsia="en_US" w:val="en_US"/>
              </w:rPr>
            </w:pPr>
            <w:r>
              <w:rPr>
                <w:color w:val="000000"/>
              </w:rPr>
              <w:t xml:space="preserve">Approval of BAR(s) </w:t>
            </w:r>
          </w:p>
          <w:p>
            <w:pPr>
              <w:numPr>
                <w:ilvl w:val="1"/>
                <w:numId w:val="6"/>
              </w:numPr>
              <w:spacing w:after="0" w:line="240" w:lineRule="auto"/>
              <w:rPr>
                <w:rFonts w:ascii="Calibri" w:hAnsi="Calibri"/>
                <w:b w:val="1"/>
                <w:color w:val="000000"/>
                <w:sz w:val="22"/>
                <w:szCs w:val="22"/>
                <w:lang w:bidi="ar_SA" w:eastAsia="en_US" w:val="en_US"/>
              </w:rPr>
            </w:pPr>
            <w:r>
              <w:rPr>
                <w:color w:val="222222"/>
              </w:rPr>
              <w:t>#0003-I</w:t>
            </w:r>
          </w:p>
          <w:p>
            <w:pPr>
              <w:numPr>
                <w:ilvl w:val="1"/>
                <w:numId w:val="6"/>
              </w:numPr>
              <w:spacing w:after="0" w:line="240" w:lineRule="auto"/>
              <w:rPr>
                <w:rFonts w:ascii="Calibri" w:hAnsi="Calibri"/>
                <w:b w:val="1"/>
                <w:color w:val="000000"/>
                <w:sz w:val="22"/>
                <w:szCs w:val="22"/>
                <w:lang w:bidi="ar_SA" w:eastAsia="en_US" w:val="en_US"/>
              </w:rPr>
            </w:pPr>
            <w:r>
              <w:rPr>
                <w:color w:val="222222"/>
              </w:rPr>
              <w:t>#0004-T</w:t>
            </w:r>
          </w:p>
          <w:p>
            <w:pPr>
              <w:spacing w:after="0" w:line="240" w:lineRule="auto"/>
              <w:rPr>
                <w:rFonts w:ascii="Calibri" w:hAnsi="Calibri"/>
                <w:b w:val="1"/>
                <w:color w:val="000000"/>
                <w:sz w:val="22"/>
                <w:szCs w:val="22"/>
                <w:lang w:bidi="ar_SA" w:eastAsia="en_US" w:val="en_US"/>
              </w:rPr>
            </w:pPr>
            <w:r>
              <w:rPr>
                <w:b w:val="1"/>
                <w:color w:val="000000"/>
              </w:rPr>
              <w:t>Special Issues (Discussion/Action)</w:t>
            </w:r>
          </w:p>
          <w:p>
            <w:pPr>
              <w:numPr>
                <w:ilvl w:val="0"/>
                <w:numId w:val="4"/>
              </w:numPr>
              <w:spacing w:after="0" w:line="240" w:lineRule="auto"/>
              <w:rPr>
                <w:rFonts w:ascii="Calibri" w:hAnsi="Calibri"/>
                <w:color w:val="000000"/>
                <w:sz w:val="22"/>
                <w:szCs w:val="22"/>
                <w:lang w:bidi="ar_SA" w:eastAsia="en_US" w:val="en_US"/>
              </w:rPr>
            </w:pPr>
            <w:r>
              <w:rPr>
                <w:color w:val="000000"/>
              </w:rPr>
              <w:t>Budget Report Updates</w:t>
            </w:r>
          </w:p>
          <w:p>
            <w:pPr>
              <w:numPr>
                <w:ilvl w:val="0"/>
                <w:numId w:val="4"/>
              </w:numPr>
              <w:spacing w:after="0" w:line="240" w:lineRule="auto"/>
              <w:rPr>
                <w:rFonts w:ascii="Calibri" w:hAnsi="Calibri"/>
                <w:color w:val="000000"/>
                <w:sz w:val="22"/>
                <w:szCs w:val="22"/>
                <w:lang w:bidi="ar_SA" w:eastAsia="en_US" w:val="en_US"/>
              </w:rPr>
            </w:pPr>
            <w:r>
              <w:rPr>
                <w:rFonts w:ascii="Calibri" w:hAnsi="Calibri"/>
                <w:vanish w:val="0"/>
                <w:color w:val="000000"/>
                <w:sz w:val="22"/>
                <w:szCs w:val="22"/>
                <w:rtl w:val="0"/>
                <w:lang w:val="en-US"/>
              </w:rPr>
              <w:t>Approval of Parent Acceptable Use Policy</w:t>
            </w:r>
          </w:p>
          <w:p>
            <w:pPr>
              <w:numPr>
                <w:ilvl w:val="0"/>
                <w:numId w:val="4"/>
              </w:numPr>
              <w:spacing w:after="0" w:line="240" w:lineRule="auto"/>
              <w:rPr>
                <w:rFonts w:ascii="Calibri" w:hAnsi="Calibri"/>
                <w:color w:val="000000"/>
                <w:sz w:val="22"/>
                <w:szCs w:val="22"/>
                <w:lang w:bidi="ar_SA" w:eastAsia="en_US" w:val="en_US"/>
              </w:rPr>
            </w:pPr>
            <w:r>
              <w:rPr>
                <w:color w:val="000000"/>
              </w:rPr>
              <w:t xml:space="preserve">Facilities Update: RDF Underwriting </w:t>
            </w:r>
          </w:p>
          <w:p>
            <w:pPr>
              <w:numPr>
                <w:ilvl w:val="0"/>
                <w:numId w:val="4"/>
              </w:numPr>
              <w:spacing w:after="0" w:line="240" w:lineRule="auto"/>
              <w:rPr>
                <w:rFonts w:ascii="Calibri" w:hAnsi="Calibri"/>
                <w:color w:val="000000"/>
                <w:sz w:val="22"/>
                <w:szCs w:val="22"/>
                <w:lang w:bidi="ar_SA" w:eastAsia="en_US" w:val="en_US"/>
              </w:rPr>
            </w:pPr>
            <w:r>
              <w:rPr>
                <w:color w:val="000000"/>
              </w:rPr>
              <w:t>K-5 Plus Update</w:t>
            </w:r>
            <w:bookmarkStart w:id="0" w:name="_GoBack"/>
            <w:bookmarkEnd w:id="0"/>
          </w:p>
          <w:p>
            <w:pPr>
              <w:numPr>
                <w:ilvl w:val="0"/>
                <w:numId w:val="4"/>
              </w:numPr>
              <w:spacing w:after="0" w:line="240" w:lineRule="auto"/>
              <w:rPr>
                <w:rFonts w:ascii="Calibri" w:hAnsi="Calibri"/>
                <w:sz w:val="22"/>
                <w:szCs w:val="22"/>
                <w:lang w:bidi="ar_SA" w:eastAsia="en_US" w:val="en_US"/>
              </w:rPr>
            </w:pPr>
            <w:r>
              <w:t>ABA Reentry</w:t>
            </w:r>
            <w:r>
              <w:t xml:space="preserve"> (</w:t>
            </w:r>
            <w:r>
              <w:t>In-Person Return Date</w:t>
            </w:r>
            <w:r>
              <w:t>)</w:t>
            </w:r>
            <w:r>
              <w:t xml:space="preserve"> </w:t>
            </w:r>
          </w:p>
          <w:p>
            <w:pPr>
              <w:numPr>
                <w:ilvl w:val="0"/>
                <w:numId w:val="4"/>
              </w:numPr>
              <w:spacing w:after="0" w:line="240" w:lineRule="auto"/>
              <w:rPr>
                <w:rFonts w:ascii="Calibri" w:hAnsi="Calibri"/>
                <w:color w:val="000000"/>
                <w:sz w:val="22"/>
                <w:szCs w:val="22"/>
                <w:lang w:bidi="ar_SA" w:eastAsia="en_US" w:val="en_US"/>
              </w:rPr>
            </w:pPr>
            <w:r>
              <w:rPr>
                <w:color w:val="000000"/>
              </w:rPr>
              <w:t xml:space="preserve">Election of ABA GC Officers </w:t>
            </w:r>
          </w:p>
          <w:p>
            <w:pPr>
              <w:spacing w:after="0" w:line="240" w:lineRule="auto"/>
              <w:rPr>
                <w:rFonts w:ascii="Calibri" w:hAnsi="Calibri"/>
                <w:b w:val="1"/>
                <w:color w:val="000000"/>
                <w:sz w:val="22"/>
                <w:szCs w:val="22"/>
                <w:lang w:bidi="ar_SA" w:eastAsia="en_US" w:val="en_US"/>
              </w:rPr>
            </w:pPr>
            <w:r>
              <w:rPr>
                <w:b w:val="1"/>
                <w:color w:val="000000"/>
              </w:rPr>
              <w:t>Consideration for Approval to Convene in Executive Session Pursuant to the Open Meetings Act: NMSA 1978 § 10-15-1 (H)(8) for the Purpose of Discussing Amendment to Lease between Earlier Learning Solutions Foundation and Albuquerque Bilingual Academy.</w:t>
            </w:r>
          </w:p>
          <w:p>
            <w:pPr>
              <w:pStyle w:val="ListParagraph"/>
              <w:numPr>
                <w:ilvl w:val="0"/>
                <w:numId w:val="7"/>
              </w:numPr>
              <w:spacing w:after="0" w:line="240" w:lineRule="auto"/>
              <w:rPr>
                <w:rStyle w:val="Normal"/>
                <w:rFonts w:ascii="Calibri" w:hAnsi="Calibri"/>
                <w:color w:val="000000"/>
                <w:sz w:val="22"/>
                <w:szCs w:val="22"/>
                <w:lang w:bidi="ar_SA" w:eastAsia="en_US" w:val="en_US"/>
              </w:rPr>
            </w:pPr>
            <w:r>
              <w:rPr>
                <w:color w:val="000000"/>
              </w:rPr>
              <w:t>Reconvene to open session; statement of closure</w:t>
            </w:r>
          </w:p>
          <w:p>
            <w:pPr>
              <w:pStyle w:val="ListParagraph"/>
              <w:numPr>
                <w:ilvl w:val="0"/>
                <w:numId w:val="7"/>
              </w:numPr>
              <w:spacing w:after="0" w:line="240" w:lineRule="auto"/>
              <w:rPr>
                <w:rStyle w:val="Normal"/>
                <w:rFonts w:ascii="Calibri" w:hAnsi="Calibri"/>
                <w:color w:val="000000"/>
                <w:sz w:val="22"/>
                <w:szCs w:val="22"/>
                <w:lang w:bidi="ar_SA" w:eastAsia="en_US" w:val="en_US"/>
              </w:rPr>
            </w:pPr>
            <w:r>
              <w:rPr>
                <w:color w:val="000000"/>
              </w:rPr>
              <w:t>Action as necessary from closed session – discussion/action</w:t>
            </w:r>
          </w:p>
          <w:p>
            <w:pPr>
              <w:spacing w:after="0" w:line="240" w:lineRule="auto"/>
              <w:rPr>
                <w:rFonts w:ascii="Calibri" w:hAnsi="Calibri"/>
                <w:b w:val="1"/>
                <w:color w:val="000000"/>
                <w:sz w:val="22"/>
                <w:szCs w:val="22"/>
                <w:lang w:bidi="ar_SA" w:eastAsia="en_US" w:val="en_US"/>
              </w:rPr>
            </w:pPr>
            <w:r>
              <w:rPr>
                <w:b w:val="1"/>
                <w:color w:val="000000"/>
              </w:rPr>
              <w:t>Special Issues (Discussion/Action)</w:t>
            </w:r>
          </w:p>
          <w:p>
            <w:pPr>
              <w:numPr>
                <w:ilvl w:val="0"/>
                <w:numId w:val="3"/>
              </w:numPr>
              <w:spacing w:after="0" w:line="240" w:lineRule="auto"/>
              <w:rPr>
                <w:rFonts w:ascii="Calibri" w:hAnsi="Calibri"/>
                <w:color w:val="000000"/>
                <w:sz w:val="22"/>
                <w:szCs w:val="22"/>
                <w:lang w:bidi="ar_SA" w:eastAsia="en_US" w:val="en_US"/>
              </w:rPr>
            </w:pPr>
            <w:r>
              <w:rPr>
                <w:color w:val="000000"/>
              </w:rPr>
              <w:t xml:space="preserve">Head Administrator Updates </w:t>
            </w:r>
          </w:p>
          <w:p>
            <w:pPr>
              <w:numPr>
                <w:ilvl w:val="0"/>
                <w:numId w:val="3"/>
              </w:numPr>
              <w:spacing w:after="0" w:line="240" w:lineRule="auto"/>
              <w:rPr>
                <w:rFonts w:ascii="Calibri" w:hAnsi="Calibri"/>
                <w:color w:val="000000"/>
                <w:sz w:val="22"/>
                <w:szCs w:val="22"/>
                <w:lang w:bidi="ar_SA" w:eastAsia="en_US" w:val="en_US"/>
              </w:rPr>
            </w:pPr>
            <w:r>
              <w:rPr>
                <w:color w:val="000000"/>
              </w:rPr>
              <w:t xml:space="preserve">Public Comment </w:t>
            </w:r>
          </w:p>
          <w:p>
            <w:pPr>
              <w:numPr>
                <w:ilvl w:val="0"/>
                <w:numId w:val="3"/>
              </w:numPr>
              <w:spacing w:after="0" w:line="240" w:lineRule="auto"/>
              <w:rPr>
                <w:rFonts w:ascii="Calibri" w:hAnsi="Calibri"/>
                <w:color w:val="000000"/>
                <w:sz w:val="22"/>
                <w:szCs w:val="22"/>
                <w:lang w:bidi="ar_SA" w:eastAsia="en_US" w:val="en_US"/>
              </w:rPr>
            </w:pPr>
            <w:r>
              <w:rPr>
                <w:color w:val="000000"/>
              </w:rPr>
              <w:t xml:space="preserve">Announcement of Next ABA GC Meeting – </w:t>
            </w:r>
            <w:r>
              <w:rPr>
                <w:b w:val="1"/>
                <w:color w:val="000000"/>
                <w:u w:val="single"/>
              </w:rPr>
              <w:t xml:space="preserve">Monday, </w:t>
            </w:r>
            <w:r>
              <w:rPr>
                <w:b w:val="1"/>
                <w:color w:val="000000"/>
                <w:u w:val="single"/>
              </w:rPr>
              <w:t>October 26</w:t>
            </w:r>
            <w:r>
              <w:rPr>
                <w:b w:val="1"/>
                <w:color w:val="000000"/>
                <w:u w:val="single"/>
              </w:rPr>
              <w:t>, 2020; 5:30 pm</w:t>
            </w:r>
          </w:p>
          <w:p>
            <w:pPr>
              <w:numPr>
                <w:ilvl w:val="0"/>
                <w:numId w:val="3"/>
              </w:numPr>
              <w:spacing w:after="0" w:line="240" w:lineRule="auto"/>
              <w:rPr>
                <w:rFonts w:ascii="Calibri" w:hAnsi="Calibri"/>
                <w:color w:val="000000"/>
                <w:sz w:val="22"/>
                <w:szCs w:val="22"/>
                <w:lang w:bidi="ar_SA" w:eastAsia="en_US" w:val="en_US"/>
              </w:rPr>
            </w:pPr>
            <w:r>
              <w:rPr>
                <w:color w:val="000000"/>
              </w:rPr>
              <w:t>Adjournment</w:t>
            </w:r>
          </w:p>
          <w:p>
            <w:pPr>
              <w:spacing w:after="0" w:line="240" w:lineRule="auto"/>
              <w:ind w:left="720"/>
              <w:rPr>
                <w:rFonts w:ascii="Calibri" w:hAnsi="Calibri"/>
                <w:color w:val="000000"/>
                <w:sz w:val="22"/>
                <w:szCs w:val="22"/>
                <w:lang w:bidi="ar_SA" w:eastAsia="en_US" w:val="en_US"/>
              </w:rPr>
            </w:pPr>
          </w:p>
          <w:tbl>
            <w:tblPr>
              <w:tblStyle w:val="a1"/>
              <w:tblW w:type="dxa" w:w="222"/>
              <w:tblBorders>
                <w:top w:color="000000" w:sz="0" w:val="single"/>
                <w:left w:color="000000" w:sz="0" w:val="single"/>
                <w:bottom w:color="000000" w:sz="0" w:val="single"/>
                <w:right w:color="000000" w:sz="0" w:val="single"/>
              </w:tblBorders>
            </w:tblPr>
            <w:tblGrid>
              <w:gridCol w:w="250"/>
            </w:tblGrid>
            <w:tr>
              <w:trPr>
                <w:trHeight w:hRule="atLeast" w:val="328"/>
              </w:trPr>
              <w:tc>
                <w:tcPr>
                  <w:tcW w:type="dxa" w:w="222"/>
                </w:tcPr>
                <w:p>
                  <w:pPr>
                    <w:rPr>
                      <w:rFonts w:ascii="Calibri" w:hAnsi="Calibri"/>
                      <w:color w:val="000000"/>
                      <w:sz w:val="22"/>
                      <w:szCs w:val="22"/>
                      <w:lang w:bidi="ar_SA" w:eastAsia="en_US" w:val="en_US"/>
                    </w:rPr>
                  </w:pPr>
                </w:p>
              </w:tc>
            </w:tr>
          </w:tbl>
          <w:p>
            <w:pPr>
              <w:spacing w:after="0" w:line="240" w:lineRule="auto"/>
              <w:rPr>
                <w:rFonts w:ascii="Arial" w:hAnsi="Arial"/>
                <w:color w:val="000000"/>
                <w:sz w:val="22"/>
                <w:szCs w:val="22"/>
                <w:lang w:bidi="ar_SA" w:eastAsia="en_US" w:val="en_US"/>
              </w:rPr>
            </w:pPr>
          </w:p>
        </w:tc>
      </w:tr>
    </w:tbl>
    <w:p>
      <w:pPr>
        <w:spacing w:after="0" w:line="240" w:lineRule="auto"/>
        <w:rPr>
          <w:rFonts w:ascii="Times New Roman" w:hAnsi="Times New Roman"/>
          <w:b w:val="1"/>
          <w:sz w:val="16"/>
          <w:szCs w:val="16"/>
          <w:lang w:bidi="ar_SA" w:eastAsia="en_US" w:val="en_US"/>
        </w:rPr>
      </w:pPr>
    </w:p>
    <w:p>
      <w:pPr>
        <w:spacing w:after="0" w:line="240" w:lineRule="auto"/>
        <w:rPr>
          <w:rFonts w:ascii="Times New Roman" w:hAnsi="Times New Roman"/>
          <w:b w:val="1"/>
          <w:sz w:val="16"/>
          <w:szCs w:val="16"/>
          <w:lang w:bidi="ar_SA" w:eastAsia="en_US" w:val="en_US"/>
        </w:rPr>
      </w:pPr>
    </w:p>
    <w:p>
      <w:pPr>
        <w:spacing w:after="0" w:line="240" w:lineRule="auto"/>
        <w:rPr>
          <w:rFonts w:ascii="Times New Roman" w:hAnsi="Times New Roman"/>
          <w:b w:val="1"/>
          <w:sz w:val="16"/>
          <w:szCs w:val="16"/>
          <w:lang w:bidi="ar_SA" w:eastAsia="en_US" w:val="en_US"/>
        </w:rPr>
      </w:pPr>
    </w:p>
    <w:p>
      <w:pPr>
        <w:spacing w:after="0" w:line="240" w:lineRule="auto"/>
        <w:rPr>
          <w:rFonts w:ascii="Times New Roman" w:hAnsi="Times New Roman"/>
          <w:b w:val="1"/>
          <w:sz w:val="16"/>
          <w:szCs w:val="16"/>
          <w:lang w:bidi="ar_SA" w:eastAsia="en_US" w:val="en_US"/>
        </w:rPr>
      </w:pPr>
      <w:r>
        <w:rPr>
          <w:rFonts w:ascii="Times New Roman" w:hAnsi="Times New Roman"/>
          <w:b w:val="1"/>
          <w:sz w:val="16"/>
          <w:szCs w:val="16"/>
        </w:rPr>
        <w:t>STATEMENT ON OPEN FORUM FOR PUBLIC COMMENT</w:t>
      </w:r>
    </w:p>
    <w:p>
      <w:pPr>
        <w:spacing w:after="0" w:line="240" w:lineRule="auto"/>
        <w:rPr>
          <w:rFonts w:ascii="Times New Roman" w:hAnsi="Times New Roman"/>
          <w:sz w:val="16"/>
          <w:szCs w:val="16"/>
          <w:lang w:bidi="ar_SA" w:eastAsia="en_US" w:val="en_US"/>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pPr>
        <w:spacing w:after="0" w:line="240" w:lineRule="auto"/>
        <w:rPr>
          <w:rFonts w:ascii="Times New Roman" w:hAnsi="Times New Roman"/>
          <w:b w:val="1"/>
          <w:sz w:val="16"/>
          <w:szCs w:val="16"/>
          <w:lang w:bidi="ar_SA" w:eastAsia="en_US" w:val="en_US"/>
        </w:rPr>
      </w:pPr>
      <w:r>
        <w:rPr>
          <w:rFonts w:ascii="Times New Roman" w:hAnsi="Times New Roman"/>
          <w:b w:val="1"/>
          <w:sz w:val="16"/>
          <w:szCs w:val="16"/>
        </w:rPr>
        <w:t>STATEMENT OF NON-DISCRIMINATION</w:t>
      </w:r>
    </w:p>
    <w:p>
      <w:pPr>
        <w:tabs>
          <w:tab w:leader="none" w:pos="2460" w:val="left"/>
        </w:tabs>
        <w:spacing w:after="0"/>
        <w:rPr>
          <w:rFonts w:ascii="Calibri" w:hAnsi="Calibri"/>
          <w:sz w:val="24"/>
          <w:szCs w:val="24"/>
          <w:lang w:bidi="ar_SA" w:eastAsia="en_US" w:val="en_US"/>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headerReference w:type="default" r:id="rId2"/>
      <w:pgSz w:h="15840" w:w="12240"/>
      <w:pgMar w:bottom="1440" w:footer="720" w:gutter="0" w:header="720" w:left="1440" w:right="1440" w:top="144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EC4" w:rsidRDefault="00DC2EC4">
      <w:pPr>
        <w:spacing w:after="0" w:line="240" w:lineRule="auto"/>
      </w:pPr>
      <w:r>
        <w:separator/>
      </w:r>
    </w:p>
  </w:endnote>
  <w:endnote w:type="continuationSeparator" w:id="0">
    <w:p w:rsidR="00DC2EC4" w:rsidRDefault="00DC2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EC4" w:rsidRDefault="00DC2EC4">
      <w:pPr>
        <w:spacing w:after="0" w:line="240" w:lineRule="auto"/>
      </w:pPr>
      <w:r>
        <w:separator/>
      </w:r>
    </w:p>
  </w:footnote>
  <w:footnote w:type="continuationSeparator" w:id="0">
    <w:p w:rsidR="00DC2EC4" w:rsidRDefault="00DC2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w:abstractNum w:abstractNumId="0">
    <w:multiLevelType w:val="multilevel"/>
    <w:tmpl w:val="04EC2B5A"/>
    <w:numStyleLink w:val=""/>
    <w:lvl w:ilvl="0">
      <w:start w:val="1"/>
      <w:numFmt w:val="upperRoman"/>
      <w:lvlText w:val="%1."/>
      <w:lvlJc w:val="right"/>
      <w:pPr>
        <w:ind w:hanging="360" w:left="720"/>
      </w:pPr>
      <w:rPr>
        <w:b w:val="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multiLevelType w:val="multilevel"/>
    <w:tmpl w:val="201091BE"/>
    <w:numStyleLink w:val=""/>
    <w:lvl w:ilvl="0">
      <w:start w:val="1"/>
      <w:numFmt w:val="upperRoman"/>
      <w:lvlText w:val="%1."/>
      <w:lvlJc w:val="right"/>
      <w:pPr>
        <w:ind w:hanging="360" w:left="720"/>
      </w:pPr>
      <w:rPr>
        <w:b w:val="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multiLevelType w:val="multilevel"/>
    <w:tmpl w:val="01B28322"/>
    <w:numStyleLink w:val=""/>
    <w:lvl w:ilvl="0">
      <w:start w:val="1"/>
      <w:numFmt w:val="upperRoman"/>
      <w:lvlText w:val="%1."/>
      <w:lvlJc w:val="right"/>
      <w:pPr>
        <w:ind w:hanging="360" w:left="720"/>
      </w:pPr>
      <w:rPr>
        <w:b w:val="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multiLevelType w:val="multilevel"/>
    <w:tmpl w:val="0F6E3EB6"/>
    <w:numStyleLink w:val=""/>
    <w:lvl w:ilvl="0">
      <w:start w:val="1"/>
      <w:numFmt w:val="upperRoman"/>
      <w:lvlText w:val="%1."/>
      <w:lvlJc w:val="righ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rPr>
        <w:color w:val="000000"/>
      </w:r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multiLevelType w:val="multilevel"/>
    <w:tmpl w:val="FF343B7A"/>
    <w:numStyleLink w:val=""/>
    <w:lvl w:ilvl="0">
      <w:start w:val="1"/>
      <w:numFmt w:val="upperRoman"/>
      <w:lvlText w:val="%1."/>
      <w:lvlJc w:val="right"/>
      <w:pPr>
        <w:ind w:hanging="360" w:left="720"/>
      </w:pPr>
      <w:rPr>
        <w:b w:val="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5">
    <w:multiLevelType w:val="multilevel"/>
    <w:tmpl w:val="56D23242"/>
    <w:numStyleLink w:val=""/>
    <w:lvl w:ilvl="0">
      <w:start w:val="1"/>
      <w:numFmt w:val="upperRoman"/>
      <w:lvlText w:val="%1."/>
      <w:lvlJc w:val="right"/>
      <w:pPr>
        <w:ind w:hanging="360" w:left="720"/>
      </w:pPr>
      <w:rPr>
        <w:b w:val="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6">
    <w:multiLevelType w:val="hybridMultilevel"/>
    <w:tmpl w:val="B70CC804"/>
    <w:numStyleLink w:val=""/>
    <w:lvl w:ilvl="0">
      <w:start w:val="1"/>
      <w:numFmt w:val="upperRoman"/>
      <w:lvlText w:val="%1."/>
      <w:lvlJc w:val="righ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5"/>
  </w:num>
  <w:num w:numId="2">
    <w:abstractNumId w:val="2"/>
  </w:num>
  <w:num w:numId="3">
    <w:abstractNumId w:val="1"/>
  </w:num>
  <w:num w:numId="4">
    <w:abstractNumId w:val="4"/>
  </w:num>
  <w:num w:numId="5">
    <w:abstractNumId w:val="0"/>
  </w:num>
  <w:num w:numId="6">
    <w:abstractNumId w:val="3"/>
  </w:num>
  <w:num w:numId="7">
    <w:abstractNumId w:val="6"/>
  </w:num>
</w:numbering>
</file>

<file path=word/settings.xml><?xml version="1.0" encoding="utf-8"?>
<w:settings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A56C9"/>
    <w:rsid w:val="002417D1"/>
    <w:rsid w:val="002F2357"/>
    <w:rsid w:val="00311190"/>
    <w:rsid w:val="00382A99"/>
    <w:rsid w:val="004832DC"/>
    <w:rsid w:val="004B5064"/>
    <w:rsid w:val="0056463C"/>
    <w:rsid w:val="005C67F6"/>
    <w:rsid w:val="00746AE8"/>
    <w:rsid w:val="00920BAC"/>
    <w:rsid w:val="00AE79FE"/>
    <w:rsid w:val="00B66DB3"/>
    <w:rsid w:val="00DC2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standalone="yes" ?><Relationships xmlns="http://schemas.openxmlformats.org/package/2006/relationships"><Relationship Id="rId1" Target="../customXml/item1.xml" Type="http://schemas.openxmlformats.org/officeDocument/2006/relationships/customXml"></Relationship><Relationship Id="rId2" Target="header1.xml" Type="http://schemas.openxmlformats.org/officeDocument/2006/relationships/header"></Relationship><Relationship Id="rId3" Target="footnotes.xml" Type="http://schemas.openxmlformats.org/officeDocument/2006/relationships/footnotes"></Relationship><Relationship Id="rId4" Target="endnotes.xml" Type="http://schemas.openxmlformats.org/officeDocument/2006/relationships/endnotes"></Relationship><Relationship Id="rId5" Target="settings.xml" Type="http://schemas.openxmlformats.org/officeDocument/2006/relationships/settings"></Relationship><Relationship Id="rId6" Target="numbering.xml" Type="http://schemas.openxmlformats.org/officeDocument/2006/relationships/numbering"></Relationship><Relationship Id="rId7" Target="fontTable.xml" Type="http://schemas.openxmlformats.org/officeDocument/2006/relationships/fontTable"></Relationship><Relationship Id="rId8" Target="webSettings.xml" Type="http://schemas.openxmlformats.org/officeDocument/2006/relationships/webSettings"></Relationship><Relationship Id="rId9" Target="styles.xml" Type="http://schemas.openxmlformats.org/officeDocument/2006/relationships/styles"></Relationship><Relationship Id="rId10" Target="theme/theme1.xml" Type="http://schemas.openxmlformats.org/officeDocument/2006/relationships/theme"></Relationship></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285</Words>
  <Characters>1651</Characters>
  <Lines>13</Lines>
  <Paragraphs>3</Paragraphs>
  <TotalTime>7</TotalTime>
  <ScaleCrop>0</ScaleCrop>
  <HeadingPairs>
    <vt:vector size="2" baseType="variant">
      <vt:variant>
        <vt:lpstr>Title</vt:lpstr>
      </vt:variant>
      <vt:variant>
        <vt:i4>1</vt:i4>
      </vt:variant>
    </vt:vector>
  </HeadingPairs>
  <TitlesOfParts>
    <vt:vector size="1" baseType="lpstr">
      <vt:lpstr/>
    </vt:vector>
  </TitlesOfParts>
  <LinksUpToDate>0</LinksUpToDate>
  <CharactersWithSpaces>1913</CharactersWithSpaces>
  <SharedDoc>0</SharedDoc>
  <HyperlinksChanged>0</HyperlinksChanged>
  <Application>Microsoft Office Word</Application>
  <AppVersion>16.0000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3</cp:revision>
  <dcterms:created xsi:type="dcterms:W3CDTF">2020-09-23T15:58:00Z</dcterms:created>
  <dcterms:modified xsi:type="dcterms:W3CDTF">2020-09-25T16:01:00Z</dcterms:modified>
</cp:coreProperties>
</file>