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1" simplePos="0" relativeHeight="268345943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"/>
        <w:rPr>
          <w:rFonts w:ascii="Times New Roman"/>
          <w:b w:val="0"/>
          <w:sz w:val="10"/>
        </w:rPr>
      </w:pPr>
    </w:p>
    <w:p>
      <w:pPr>
        <w:spacing w:line="240" w:lineRule="auto"/>
        <w:ind w:left="272" w:right="0" w:firstLine="0"/>
        <w:rPr>
          <w:rFonts w:ascii="Times New Roman"/>
          <w:sz w:val="20"/>
        </w:rPr>
      </w:pPr>
      <w:r>
        <w:rPr>
          <w:rFonts w:ascii="Times New Roman"/>
          <w:spacing w:val="-49"/>
          <w:sz w:val="20"/>
        </w:rPr>
        <w:t> </w:t>
      </w:r>
      <w:r>
        <w:rPr>
          <w:rFonts w:ascii="Times New Roman"/>
          <w:spacing w:val="-49"/>
          <w:sz w:val="20"/>
        </w:rPr>
        <w:pict>
          <v:shape style="width:612pt;height:168.25pt;mso-position-horizontal-relative:char;mso-position-vertical-relative:line" type="#_x0000_t202" filled="false" stroked="true" strokeweight=".75pt" strokecolor="#000000">
            <w10:anchorlock/>
            <v:textbox inset="0,0,0,0">
              <w:txbxContent>
                <w:p>
                  <w:pPr>
                    <w:spacing w:before="95"/>
                    <w:ind w:left="1511" w:right="1511" w:firstLine="0"/>
                    <w:jc w:val="center"/>
                    <w:rPr>
                      <w:sz w:val="88"/>
                    </w:rPr>
                  </w:pPr>
                  <w:r>
                    <w:rPr>
                      <w:sz w:val="88"/>
                    </w:rPr>
                    <w:t>Carroll ISD</w:t>
                  </w:r>
                </w:p>
                <w:p>
                  <w:pPr>
                    <w:spacing w:line="249" w:lineRule="auto" w:before="44"/>
                    <w:ind w:left="1511" w:right="1515" w:firstLine="0"/>
                    <w:jc w:val="center"/>
                    <w:rPr>
                      <w:sz w:val="88"/>
                    </w:rPr>
                  </w:pPr>
                  <w:r>
                    <w:rPr>
                      <w:sz w:val="88"/>
                    </w:rPr>
                    <w:t>Financial Accountability Rating Presentation</w:t>
                  </w:r>
                </w:p>
              </w:txbxContent>
            </v:textbox>
            <v:stroke dashstyle="solid"/>
          </v:shape>
        </w:pict>
      </w:r>
      <w:r>
        <w:rPr>
          <w:rFonts w:ascii="Times New Roman"/>
          <w:spacing w:val="-49"/>
          <w:sz w:val="20"/>
        </w:rPr>
      </w:r>
    </w:p>
    <w:p>
      <w:pPr>
        <w:pStyle w:val="BodyText"/>
        <w:spacing w:before="1"/>
        <w:rPr>
          <w:rFonts w:ascii="Times New Roman"/>
          <w:b w:val="0"/>
          <w:sz w:val="19"/>
        </w:rPr>
      </w:pPr>
    </w:p>
    <w:p>
      <w:pPr>
        <w:spacing w:line="300" w:lineRule="auto" w:before="79"/>
        <w:ind w:left="3931" w:right="2042" w:firstLine="372"/>
        <w:jc w:val="left"/>
        <w:rPr>
          <w:sz w:val="64"/>
        </w:rPr>
      </w:pPr>
      <w:r>
        <w:rPr>
          <w:sz w:val="64"/>
        </w:rPr>
        <w:t>Public Meeting October 24, 2011</w:t>
      </w:r>
    </w:p>
    <w:p>
      <w:pPr>
        <w:spacing w:after="0" w:line="300" w:lineRule="auto"/>
        <w:jc w:val="left"/>
        <w:rPr>
          <w:sz w:val="64"/>
        </w:rPr>
        <w:sectPr>
          <w:headerReference w:type="default" r:id="rId5"/>
          <w:type w:val="continuous"/>
          <w:pgSz w:w="14400" w:h="10800" w:orient="landscape"/>
          <w:pgMar w:header="371" w:top="2080" w:bottom="280" w:left="800" w:right="800"/>
        </w:sectPr>
      </w:pPr>
    </w:p>
    <w:p>
      <w:pPr>
        <w:spacing w:line="240" w:lineRule="auto" w:before="8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107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3"/>
        <w:ind w:left="3314" w:right="0" w:firstLine="0"/>
        <w:jc w:val="left"/>
        <w:rPr>
          <w:sz w:val="56"/>
        </w:rPr>
      </w:pPr>
      <w:r>
        <w:rPr>
          <w:sz w:val="56"/>
          <w:u w:val="thick"/>
        </w:rPr>
        <w:t>Financial Rating System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"/>
        <w:rPr>
          <w:sz w:val="17"/>
        </w:rPr>
      </w:pPr>
    </w:p>
    <w:p>
      <w:pPr>
        <w:spacing w:before="82"/>
        <w:ind w:left="545" w:right="665" w:firstLine="0"/>
        <w:jc w:val="center"/>
        <w:rPr>
          <w:sz w:val="56"/>
        </w:rPr>
      </w:pPr>
      <w:r>
        <w:rPr>
          <w:sz w:val="56"/>
        </w:rPr>
        <w:t>Based on 2009-10 Data</w:t>
      </w:r>
    </w:p>
    <w:p>
      <w:pPr>
        <w:spacing w:before="162"/>
        <w:ind w:left="547" w:right="665" w:firstLine="0"/>
        <w:jc w:val="center"/>
        <w:rPr>
          <w:sz w:val="56"/>
        </w:rPr>
      </w:pPr>
      <w:r>
        <w:rPr>
          <w:sz w:val="56"/>
        </w:rPr>
        <w:t>22 Indicators (Yes/No Format with up to 5 pts /</w:t>
      </w:r>
    </w:p>
    <w:p>
      <w:pPr>
        <w:spacing w:before="28"/>
        <w:ind w:left="547" w:right="128" w:firstLine="0"/>
        <w:jc w:val="center"/>
        <w:rPr>
          <w:sz w:val="56"/>
        </w:rPr>
      </w:pPr>
      <w:r>
        <w:rPr>
          <w:sz w:val="56"/>
        </w:rPr>
        <w:t>indicator)</w:t>
      </w:r>
    </w:p>
    <w:p>
      <w:pPr>
        <w:spacing w:before="162"/>
        <w:ind w:left="542" w:right="665" w:firstLine="0"/>
        <w:jc w:val="center"/>
        <w:rPr>
          <w:sz w:val="56"/>
        </w:rPr>
      </w:pPr>
      <w:r>
        <w:rPr>
          <w:sz w:val="56"/>
        </w:rPr>
        <w:t>Managerial Reports &amp; Summary of Financial</w:t>
      </w:r>
    </w:p>
    <w:p>
      <w:pPr>
        <w:spacing w:before="28"/>
        <w:ind w:left="547" w:right="129" w:firstLine="0"/>
        <w:jc w:val="center"/>
        <w:rPr>
          <w:sz w:val="56"/>
        </w:rPr>
      </w:pPr>
      <w:r>
        <w:rPr>
          <w:sz w:val="56"/>
        </w:rPr>
        <w:t>Solvency Survey</w:t>
      </w:r>
    </w:p>
    <w:p>
      <w:pPr>
        <w:spacing w:before="162"/>
        <w:ind w:left="543" w:right="665" w:firstLine="0"/>
        <w:jc w:val="center"/>
        <w:rPr>
          <w:sz w:val="56"/>
        </w:rPr>
      </w:pPr>
      <w:r>
        <w:rPr>
          <w:sz w:val="56"/>
        </w:rPr>
        <w:t>2009-10 Report is also available online at:</w:t>
      </w:r>
    </w:p>
    <w:p>
      <w:pPr>
        <w:spacing w:line="300" w:lineRule="auto" w:before="95"/>
        <w:ind w:left="3007" w:right="3128" w:firstLine="0"/>
        <w:jc w:val="center"/>
        <w:rPr>
          <w:sz w:val="32"/>
        </w:rPr>
      </w:pPr>
      <w:hyperlink r:id="rId7">
        <w:r>
          <w:rPr>
            <w:color w:val="009999"/>
            <w:sz w:val="32"/>
            <w:u w:val="thick" w:color="009999"/>
          </w:rPr>
          <w:t>http://tuna.tea.state.tx.us/first/Forms/Main.aspx</w:t>
        </w:r>
      </w:hyperlink>
      <w:r>
        <w:rPr>
          <w:color w:val="009999"/>
          <w:sz w:val="32"/>
          <w:u w:val="thick" w:color="009999"/>
        </w:rPr>
        <w:t> </w:t>
      </w:r>
      <w:r>
        <w:rPr>
          <w:sz w:val="32"/>
        </w:rPr>
        <w:t>(Go to District# 220919)</w:t>
      </w:r>
    </w:p>
    <w:p>
      <w:pPr>
        <w:spacing w:after="0" w:line="300" w:lineRule="auto"/>
        <w:jc w:val="center"/>
        <w:rPr>
          <w:sz w:val="32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692" w:lineRule="exact" w:before="162"/>
        <w:ind w:left="644" w:right="0" w:firstLine="0"/>
        <w:jc w:val="left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09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t>Determine Rating By Applicable Range For The Number Of Total Points &amp; Results of Default Indicators:</w:t>
      </w:r>
    </w:p>
    <w:p>
      <w:pPr>
        <w:tabs>
          <w:tab w:pos="7304" w:val="left" w:leader="none"/>
          <w:tab w:pos="8529" w:val="right" w:leader="none"/>
        </w:tabs>
        <w:spacing w:line="276" w:lineRule="auto" w:before="925"/>
        <w:ind w:left="104" w:right="122" w:firstLine="0"/>
        <w:jc w:val="left"/>
        <w:rPr>
          <w:sz w:val="48"/>
        </w:rPr>
      </w:pPr>
      <w:r>
        <w:rPr>
          <w:b/>
          <w:sz w:val="48"/>
        </w:rPr>
        <w:t>Superior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72-80 </w:t>
      </w:r>
      <w:r>
        <w:rPr>
          <w:sz w:val="48"/>
          <w:u w:val="thick"/>
        </w:rPr>
        <w:t>&amp; </w:t>
      </w:r>
      <w:r>
        <w:rPr>
          <w:sz w:val="48"/>
        </w:rPr>
        <w:t>Yes</w:t>
      </w:r>
      <w:r>
        <w:rPr>
          <w:spacing w:val="-1"/>
          <w:sz w:val="48"/>
        </w:rPr>
        <w:t> </w:t>
      </w:r>
      <w:r>
        <w:rPr>
          <w:sz w:val="48"/>
        </w:rPr>
        <w:t>on</w:t>
      </w:r>
      <w:r>
        <w:rPr>
          <w:spacing w:val="-2"/>
          <w:sz w:val="48"/>
        </w:rPr>
        <w:t> </w:t>
      </w:r>
      <w:r>
        <w:rPr>
          <w:sz w:val="48"/>
        </w:rPr>
        <w:t>#7</w:t>
      </w:r>
      <w:r>
        <w:rPr>
          <w:w w:val="99"/>
          <w:sz w:val="48"/>
        </w:rPr>
        <w:t> </w:t>
      </w:r>
      <w:r>
        <w:rPr>
          <w:b/>
          <w:sz w:val="48"/>
        </w:rPr>
        <w:t>Above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Standard</w:t>
      </w:r>
      <w:r>
        <w:rPr>
          <w:b/>
          <w:spacing w:val="-1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64-71 </w:t>
      </w:r>
      <w:r>
        <w:rPr>
          <w:sz w:val="48"/>
          <w:u w:val="thick"/>
        </w:rPr>
        <w:t>or </w:t>
      </w:r>
      <w:r>
        <w:rPr>
          <w:sz w:val="48"/>
        </w:rPr>
        <w:t>&gt;=72 &amp; No</w:t>
      </w:r>
      <w:r>
        <w:rPr>
          <w:spacing w:val="-3"/>
          <w:sz w:val="48"/>
        </w:rPr>
        <w:t> </w:t>
      </w:r>
      <w:r>
        <w:rPr>
          <w:sz w:val="48"/>
        </w:rPr>
        <w:t>on</w:t>
      </w:r>
      <w:r>
        <w:rPr>
          <w:spacing w:val="-1"/>
          <w:sz w:val="48"/>
        </w:rPr>
        <w:t> </w:t>
      </w:r>
      <w:r>
        <w:rPr>
          <w:sz w:val="48"/>
        </w:rPr>
        <w:t>#7</w:t>
      </w:r>
      <w:r>
        <w:rPr>
          <w:w w:val="99"/>
          <w:sz w:val="48"/>
        </w:rPr>
        <w:t> </w:t>
      </w:r>
      <w:r>
        <w:rPr>
          <w:b/>
          <w:sz w:val="48"/>
        </w:rPr>
        <w:t>Standard</w:t>
      </w:r>
      <w:r>
        <w:rPr>
          <w:b/>
          <w:spacing w:val="-2"/>
          <w:sz w:val="48"/>
        </w:rPr>
        <w:t> </w:t>
      </w:r>
      <w:r>
        <w:rPr>
          <w:b/>
          <w:sz w:val="48"/>
        </w:rPr>
        <w:t>Achievement</w:t>
      </w:r>
      <w:r>
        <w:rPr>
          <w:sz w:val="48"/>
        </w:rPr>
        <w:tab/>
        <w:tab/>
        <w:t>56-63</w:t>
      </w:r>
    </w:p>
    <w:p>
      <w:pPr>
        <w:tabs>
          <w:tab w:pos="7304" w:val="left" w:leader="none"/>
        </w:tabs>
        <w:spacing w:before="0"/>
        <w:ind w:left="104" w:right="0" w:firstLine="0"/>
        <w:jc w:val="left"/>
        <w:rPr>
          <w:sz w:val="48"/>
        </w:rPr>
      </w:pPr>
      <w:r>
        <w:rPr>
          <w:b/>
          <w:sz w:val="48"/>
        </w:rPr>
        <w:t>Substandard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Achievement</w:t>
        <w:tab/>
      </w:r>
      <w:r>
        <w:rPr>
          <w:sz w:val="48"/>
        </w:rPr>
        <w:t>&lt;56 </w:t>
      </w:r>
      <w:r>
        <w:rPr>
          <w:sz w:val="48"/>
          <w:u w:val="thick"/>
        </w:rPr>
        <w:t>or </w:t>
      </w:r>
      <w:r>
        <w:rPr>
          <w:sz w:val="48"/>
        </w:rPr>
        <w:t>No to a default</w:t>
      </w:r>
      <w:r>
        <w:rPr>
          <w:spacing w:val="-3"/>
          <w:sz w:val="48"/>
        </w:rPr>
        <w:t> </w:t>
      </w:r>
      <w:r>
        <w:rPr>
          <w:sz w:val="48"/>
        </w:rPr>
        <w:t>#</w:t>
      </w:r>
    </w:p>
    <w:p>
      <w:pPr>
        <w:spacing w:after="0"/>
        <w:jc w:val="left"/>
        <w:rPr>
          <w:sz w:val="48"/>
        </w:rPr>
        <w:sectPr>
          <w:pgSz w:w="14400" w:h="10800" w:orient="landscape"/>
          <w:pgMar w:header="371" w:footer="0" w:top="2420" w:bottom="280" w:left="760" w:right="660"/>
        </w:sectPr>
      </w:pPr>
    </w:p>
    <w:p>
      <w:pPr>
        <w:spacing w:line="240" w:lineRule="auto" w:before="3"/>
        <w:rPr>
          <w:sz w:val="79"/>
        </w:rPr>
      </w:pPr>
      <w:r>
        <w:rPr/>
        <w:drawing>
          <wp:anchor distT="0" distB="0" distL="0" distR="0" allowOverlap="1" layoutInCell="1" locked="0" behindDoc="0" simplePos="0" relativeHeight="112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"/>
        <w:ind w:left="1624" w:right="0" w:firstLine="0"/>
        <w:jc w:val="left"/>
        <w:rPr>
          <w:sz w:val="64"/>
        </w:rPr>
      </w:pPr>
      <w:r>
        <w:rPr>
          <w:sz w:val="64"/>
        </w:rPr>
        <w:t>Carroll ISD - 2011</w:t>
      </w:r>
    </w:p>
    <w:p>
      <w:pPr>
        <w:spacing w:line="240" w:lineRule="auto" w:before="3"/>
        <w:rPr>
          <w:sz w:val="96"/>
        </w:rPr>
      </w:pPr>
    </w:p>
    <w:p>
      <w:pPr>
        <w:spacing w:before="0"/>
        <w:ind w:left="1624" w:right="0" w:firstLine="0"/>
        <w:jc w:val="left"/>
        <w:rPr>
          <w:sz w:val="64"/>
        </w:rPr>
      </w:pPr>
      <w:r>
        <w:rPr>
          <w:sz w:val="64"/>
        </w:rPr>
        <w:t>Total Point Score: 75 of 80 </w:t>
      </w:r>
      <w:r>
        <w:rPr>
          <w:sz w:val="64"/>
          <w:u w:val="thick"/>
        </w:rPr>
        <w:t>and</w:t>
      </w:r>
    </w:p>
    <w:p>
      <w:pPr>
        <w:spacing w:before="32"/>
        <w:ind w:left="2163" w:right="0" w:firstLine="0"/>
        <w:jc w:val="left"/>
        <w:rPr>
          <w:sz w:val="64"/>
        </w:rPr>
      </w:pPr>
      <w:r>
        <w:rPr>
          <w:sz w:val="64"/>
        </w:rPr>
        <w:t>answered YES to Default Indicators</w:t>
      </w:r>
    </w:p>
    <w:p>
      <w:pPr>
        <w:spacing w:line="240" w:lineRule="auto" w:before="3"/>
        <w:rPr>
          <w:sz w:val="96"/>
        </w:rPr>
      </w:pPr>
    </w:p>
    <w:p>
      <w:pPr>
        <w:spacing w:before="0"/>
        <w:ind w:left="1624" w:right="0" w:firstLine="0"/>
        <w:jc w:val="left"/>
        <w:rPr>
          <w:sz w:val="64"/>
        </w:rPr>
      </w:pPr>
      <w:r>
        <w:rPr>
          <w:sz w:val="64"/>
        </w:rPr>
        <w:t>SUPERIOR ACHIEVEMENT</w:t>
      </w:r>
    </w:p>
    <w:p>
      <w:pPr>
        <w:spacing w:after="0"/>
        <w:jc w:val="left"/>
        <w:rPr>
          <w:sz w:val="64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14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3" w:val="left" w:leader="none"/>
          <w:tab w:pos="1544" w:val="left" w:leader="none"/>
        </w:tabs>
        <w:spacing w:line="249" w:lineRule="auto" w:before="78" w:after="0"/>
        <w:ind w:left="1544" w:right="963" w:hanging="1440"/>
        <w:jc w:val="left"/>
        <w:rPr>
          <w:b/>
          <w:sz w:val="64"/>
        </w:rPr>
      </w:pPr>
      <w:r>
        <w:rPr>
          <w:b/>
          <w:sz w:val="64"/>
        </w:rPr>
        <w:t>Was The Total Fund Balance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Less Reserved Fund Balance Greater Than Zero In The General</w:t>
      </w:r>
      <w:r>
        <w:rPr>
          <w:b/>
          <w:spacing w:val="-20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8"/>
        <w:rPr>
          <w:b/>
          <w:sz w:val="93"/>
        </w:rPr>
      </w:pPr>
    </w:p>
    <w:p>
      <w:pPr>
        <w:spacing w:before="1"/>
        <w:ind w:left="1544" w:right="0" w:firstLine="0"/>
        <w:jc w:val="left"/>
        <w:rPr>
          <w:sz w:val="64"/>
        </w:rPr>
      </w:pPr>
      <w:r>
        <w:rPr>
          <w:sz w:val="64"/>
        </w:rPr>
        <w:t>2009-10: Passed, 21,665,108 &gt; 0</w:t>
      </w:r>
    </w:p>
    <w:p>
      <w:pPr>
        <w:spacing w:line="240" w:lineRule="auto" w:before="0"/>
        <w:rPr>
          <w:sz w:val="72"/>
        </w:rPr>
      </w:pPr>
    </w:p>
    <w:p>
      <w:pPr>
        <w:spacing w:before="504"/>
        <w:ind w:left="1544" w:right="0" w:firstLine="0"/>
        <w:jc w:val="left"/>
        <w:rPr>
          <w:sz w:val="40"/>
        </w:rPr>
      </w:pPr>
      <w:r>
        <w:rPr>
          <w:sz w:val="40"/>
        </w:rPr>
        <w:t>Prior Year 2008-09: Passed, 17,120,120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16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383" w:val="left" w:leader="none"/>
          <w:tab w:pos="1384" w:val="left" w:leader="none"/>
          <w:tab w:pos="10024" w:val="left" w:leader="none"/>
        </w:tabs>
        <w:spacing w:line="249" w:lineRule="auto" w:before="84" w:after="0"/>
        <w:ind w:left="1384" w:right="299" w:hanging="720"/>
        <w:jc w:val="left"/>
        <w:rPr>
          <w:b/>
          <w:sz w:val="48"/>
        </w:rPr>
      </w:pPr>
      <w:r>
        <w:rPr>
          <w:b/>
          <w:sz w:val="48"/>
        </w:rPr>
        <w:t>Was the Total Unrestricted</w:t>
      </w:r>
      <w:r>
        <w:rPr>
          <w:b/>
          <w:spacing w:val="-3"/>
          <w:sz w:val="48"/>
        </w:rPr>
        <w:t> </w:t>
      </w:r>
      <w:r>
        <w:rPr>
          <w:b/>
          <w:sz w:val="48"/>
        </w:rPr>
        <w:t>Net</w:t>
      </w:r>
      <w:r>
        <w:rPr>
          <w:b/>
          <w:spacing w:val="-2"/>
          <w:sz w:val="48"/>
        </w:rPr>
        <w:t> </w:t>
      </w:r>
      <w:r>
        <w:rPr>
          <w:b/>
          <w:sz w:val="48"/>
        </w:rPr>
        <w:t>Asset</w:t>
        <w:tab/>
        <w:t>Balance (Net of Accretion of Interest on Capital Appreciation Bonds) in the Governmental Activities Column in the Statement of Net</w:t>
      </w:r>
      <w:r>
        <w:rPr>
          <w:b/>
          <w:spacing w:val="-12"/>
          <w:sz w:val="48"/>
        </w:rPr>
        <w:t> </w:t>
      </w:r>
      <w:r>
        <w:rPr>
          <w:b/>
          <w:sz w:val="48"/>
        </w:rPr>
        <w:t>Assets Greater than Zero? (If the District’s 5 Year % Change in Students was 10% or</w:t>
      </w:r>
      <w:r>
        <w:rPr>
          <w:b/>
          <w:spacing w:val="-10"/>
          <w:sz w:val="48"/>
        </w:rPr>
        <w:t> </w:t>
      </w:r>
      <w:r>
        <w:rPr>
          <w:b/>
          <w:sz w:val="48"/>
        </w:rPr>
        <w:t>more)</w:t>
      </w:r>
    </w:p>
    <w:p>
      <w:pPr>
        <w:spacing w:line="240" w:lineRule="auto" w:before="3"/>
        <w:rPr>
          <w:b/>
          <w:sz w:val="72"/>
        </w:rPr>
      </w:pPr>
    </w:p>
    <w:p>
      <w:pPr>
        <w:spacing w:before="0"/>
        <w:ind w:left="2103" w:right="0" w:firstLine="0"/>
        <w:jc w:val="left"/>
        <w:rPr>
          <w:sz w:val="56"/>
        </w:rPr>
      </w:pPr>
      <w:r>
        <w:rPr>
          <w:sz w:val="56"/>
        </w:rPr>
        <w:t>2009-10: Passed, 34,390,988 &gt; 0</w:t>
      </w:r>
    </w:p>
    <w:p>
      <w:pPr>
        <w:spacing w:line="240" w:lineRule="auto" w:before="4"/>
        <w:rPr>
          <w:sz w:val="70"/>
        </w:rPr>
      </w:pPr>
    </w:p>
    <w:p>
      <w:pPr>
        <w:spacing w:before="0"/>
        <w:ind w:left="2103" w:right="0" w:firstLine="0"/>
        <w:jc w:val="left"/>
        <w:rPr>
          <w:sz w:val="40"/>
        </w:rPr>
      </w:pPr>
      <w:r>
        <w:rPr>
          <w:sz w:val="40"/>
        </w:rPr>
        <w:t>Prior Year 2008-09: Passed, 49,324,851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19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2223" w:val="left" w:leader="none"/>
          <w:tab w:pos="2224" w:val="left" w:leader="none"/>
        </w:tabs>
        <w:spacing w:line="249" w:lineRule="auto" w:before="83" w:after="0"/>
        <w:ind w:left="2224" w:right="422" w:hanging="1440"/>
        <w:jc w:val="left"/>
        <w:rPr>
          <w:b/>
          <w:sz w:val="56"/>
        </w:rPr>
      </w:pPr>
      <w:r>
        <w:rPr>
          <w:b/>
          <w:sz w:val="56"/>
        </w:rPr>
        <w:t>Were There No Disclosures In The Annual Financial Report And/Or Other Sources Of Information Concerning Default On Bonded Indebtedness Obligations?</w:t>
      </w:r>
    </w:p>
    <w:p>
      <w:pPr>
        <w:spacing w:line="240" w:lineRule="auto" w:before="1"/>
        <w:rPr>
          <w:b/>
          <w:sz w:val="72"/>
        </w:rPr>
      </w:pPr>
    </w:p>
    <w:p>
      <w:pPr>
        <w:spacing w:before="0"/>
        <w:ind w:left="2223" w:right="0" w:firstLine="0"/>
        <w:jc w:val="left"/>
        <w:rPr>
          <w:sz w:val="56"/>
        </w:rPr>
      </w:pPr>
      <w:r>
        <w:rPr>
          <w:sz w:val="56"/>
        </w:rPr>
        <w:t>2009-10: Passed, No Disclosures</w:t>
      </w:r>
    </w:p>
    <w:p>
      <w:pPr>
        <w:spacing w:line="240" w:lineRule="auto" w:before="4"/>
        <w:rPr>
          <w:sz w:val="70"/>
        </w:rPr>
      </w:pPr>
    </w:p>
    <w:p>
      <w:pPr>
        <w:spacing w:before="0"/>
        <w:ind w:left="2223" w:right="0" w:firstLine="0"/>
        <w:jc w:val="left"/>
        <w:rPr>
          <w:sz w:val="40"/>
        </w:rPr>
      </w:pPr>
      <w:r>
        <w:rPr>
          <w:sz w:val="40"/>
        </w:rPr>
        <w:t>Prior Year 2008-09: Passed, No Disclosures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1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03" w:val="left" w:leader="none"/>
          <w:tab w:pos="1504" w:val="left" w:leader="none"/>
        </w:tabs>
        <w:spacing w:line="249" w:lineRule="auto" w:before="83" w:after="0"/>
        <w:ind w:left="1504" w:right="114" w:hanging="900"/>
        <w:jc w:val="left"/>
        <w:rPr>
          <w:b/>
          <w:sz w:val="56"/>
        </w:rPr>
      </w:pPr>
      <w:r>
        <w:rPr>
          <w:b/>
          <w:sz w:val="56"/>
        </w:rPr>
        <w:t>Was The Annual Financial Report Filed Within One Month After November 27th or January 28th Deadline Depending Upon The District's Fiscal Year End Date (June 30th or August</w:t>
      </w:r>
      <w:r>
        <w:rPr>
          <w:b/>
          <w:spacing w:val="3"/>
          <w:sz w:val="56"/>
        </w:rPr>
        <w:t> </w:t>
      </w:r>
      <w:r>
        <w:rPr>
          <w:b/>
          <w:sz w:val="56"/>
        </w:rPr>
        <w:t>31st)?</w:t>
      </w:r>
    </w:p>
    <w:p>
      <w:pPr>
        <w:spacing w:line="240" w:lineRule="auto" w:before="0"/>
        <w:rPr>
          <w:b/>
          <w:sz w:val="54"/>
        </w:rPr>
      </w:pPr>
    </w:p>
    <w:p>
      <w:pPr>
        <w:spacing w:before="0"/>
        <w:ind w:left="2944" w:right="0" w:firstLine="0"/>
        <w:jc w:val="left"/>
        <w:rPr>
          <w:sz w:val="64"/>
        </w:rPr>
      </w:pPr>
      <w:r>
        <w:rPr>
          <w:sz w:val="64"/>
        </w:rPr>
        <w:t>2009-10: Passed</w:t>
      </w:r>
    </w:p>
    <w:p>
      <w:pPr>
        <w:spacing w:before="410"/>
        <w:ind w:left="2944" w:right="0" w:firstLine="0"/>
        <w:jc w:val="left"/>
        <w:rPr>
          <w:sz w:val="40"/>
        </w:rPr>
      </w:pPr>
      <w:r>
        <w:rPr>
          <w:sz w:val="40"/>
        </w:rPr>
        <w:t>Prior Year 2008-09: Passed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4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3" w:val="left" w:leader="none"/>
          <w:tab w:pos="1544" w:val="left" w:leader="none"/>
        </w:tabs>
        <w:spacing w:line="249" w:lineRule="auto" w:before="78" w:after="0"/>
        <w:ind w:left="1544" w:right="782" w:hanging="1440"/>
        <w:jc w:val="left"/>
        <w:rPr>
          <w:b/>
          <w:sz w:val="64"/>
        </w:rPr>
      </w:pPr>
      <w:r>
        <w:rPr>
          <w:b/>
          <w:sz w:val="64"/>
        </w:rPr>
        <w:t>Was There An Unqualified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Opinion in Annual Financial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Report?</w:t>
      </w:r>
    </w:p>
    <w:p>
      <w:pPr>
        <w:spacing w:line="240" w:lineRule="auto" w:before="8"/>
        <w:rPr>
          <w:b/>
          <w:sz w:val="93"/>
        </w:rPr>
      </w:pPr>
    </w:p>
    <w:p>
      <w:pPr>
        <w:spacing w:before="0"/>
        <w:ind w:left="1544" w:right="0" w:firstLine="0"/>
        <w:jc w:val="left"/>
        <w:rPr>
          <w:sz w:val="64"/>
        </w:rPr>
      </w:pPr>
      <w:r>
        <w:rPr>
          <w:sz w:val="64"/>
        </w:rPr>
        <w:t>2009-10: Passed – Clean Audit Report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544" w:right="0" w:firstLine="0"/>
        <w:jc w:val="left"/>
        <w:rPr>
          <w:sz w:val="40"/>
        </w:rPr>
      </w:pPr>
      <w:r>
        <w:rPr>
          <w:sz w:val="40"/>
        </w:rPr>
        <w:t>Prior Year: 2008-09: Passed – Clean Audit Report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6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1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249" w:lineRule="auto" w:before="78" w:after="0"/>
        <w:ind w:left="1064" w:right="662" w:hanging="960"/>
        <w:jc w:val="both"/>
        <w:rPr>
          <w:b/>
          <w:sz w:val="64"/>
        </w:rPr>
      </w:pPr>
      <w:r>
        <w:rPr>
          <w:b/>
          <w:sz w:val="64"/>
        </w:rPr>
        <w:t>Did The Annual Financial Report</w:t>
      </w:r>
      <w:r>
        <w:rPr>
          <w:b/>
          <w:spacing w:val="-21"/>
          <w:sz w:val="64"/>
        </w:rPr>
        <w:t> </w:t>
      </w:r>
      <w:r>
        <w:rPr>
          <w:b/>
          <w:sz w:val="64"/>
        </w:rPr>
        <w:t>Not Disclose Any Instance(s) Of Material Weaknesses In Internal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Controls?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064" w:right="0" w:firstLine="0"/>
        <w:jc w:val="left"/>
        <w:rPr>
          <w:sz w:val="56"/>
        </w:rPr>
      </w:pPr>
      <w:r>
        <w:rPr>
          <w:sz w:val="56"/>
        </w:rPr>
        <w:t>2009-10: Passed - No Weakness in Internal</w:t>
      </w:r>
    </w:p>
    <w:p>
      <w:pPr>
        <w:spacing w:before="45"/>
        <w:ind w:left="1064" w:right="0" w:firstLine="0"/>
        <w:jc w:val="left"/>
        <w:rPr>
          <w:sz w:val="56"/>
        </w:rPr>
      </w:pPr>
      <w:r>
        <w:rPr>
          <w:sz w:val="56"/>
        </w:rPr>
        <w:t>Controls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8"/>
        <w:rPr>
          <w:sz w:val="53"/>
        </w:rPr>
      </w:pPr>
    </w:p>
    <w:p>
      <w:pPr>
        <w:spacing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2008-09: Passed - No Weakness in Internal Controls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28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3" w:val="left" w:leader="none"/>
          <w:tab w:pos="1064" w:val="left" w:leader="none"/>
        </w:tabs>
        <w:spacing w:line="249" w:lineRule="auto" w:before="78" w:after="0"/>
        <w:ind w:left="1064" w:right="549" w:hanging="960"/>
        <w:jc w:val="left"/>
        <w:rPr>
          <w:b/>
          <w:sz w:val="64"/>
        </w:rPr>
      </w:pPr>
      <w:r>
        <w:rPr>
          <w:b/>
          <w:sz w:val="64"/>
        </w:rPr>
        <w:t>Did the District’s Academic Rating Exceed Academically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Unacceptable?</w:t>
      </w:r>
    </w:p>
    <w:p>
      <w:pPr>
        <w:spacing w:line="240" w:lineRule="auto" w:before="8"/>
        <w:rPr>
          <w:b/>
          <w:sz w:val="93"/>
        </w:rPr>
      </w:pPr>
    </w:p>
    <w:p>
      <w:pPr>
        <w:spacing w:before="0"/>
        <w:ind w:left="1064" w:right="0" w:firstLine="0"/>
        <w:jc w:val="left"/>
        <w:rPr>
          <w:sz w:val="64"/>
        </w:rPr>
      </w:pPr>
      <w:r>
        <w:rPr>
          <w:sz w:val="64"/>
        </w:rPr>
        <w:t>2009-10: YES (5/5 pts)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064" w:right="0" w:firstLine="0"/>
        <w:jc w:val="left"/>
        <w:rPr>
          <w:sz w:val="40"/>
        </w:rPr>
      </w:pPr>
      <w:r>
        <w:rPr>
          <w:sz w:val="40"/>
        </w:rPr>
        <w:t>Prior Year 2008-09: Yes (5/5 pts)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1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3" w:val="left" w:leader="none"/>
          <w:tab w:pos="1064" w:val="left" w:leader="none"/>
        </w:tabs>
        <w:spacing w:line="249" w:lineRule="auto" w:before="78" w:after="0"/>
        <w:ind w:left="1064" w:right="582" w:hanging="960"/>
        <w:jc w:val="left"/>
        <w:rPr>
          <w:b/>
          <w:sz w:val="64"/>
        </w:rPr>
      </w:pPr>
      <w:r>
        <w:rPr>
          <w:b/>
          <w:sz w:val="64"/>
        </w:rPr>
        <w:t>Was the Three-Year Average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Percent of Total Tax Collections (Including Delinquent) Greater than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98%?</w:t>
      </w:r>
    </w:p>
    <w:p>
      <w:pPr>
        <w:spacing w:line="240" w:lineRule="auto" w:before="8"/>
        <w:rPr>
          <w:b/>
          <w:sz w:val="93"/>
        </w:rPr>
      </w:pPr>
    </w:p>
    <w:p>
      <w:pPr>
        <w:spacing w:before="1"/>
        <w:ind w:left="1064" w:right="0" w:firstLine="0"/>
        <w:jc w:val="left"/>
        <w:rPr>
          <w:sz w:val="64"/>
        </w:rPr>
      </w:pPr>
      <w:r>
        <w:rPr>
          <w:sz w:val="64"/>
        </w:rPr>
        <w:t>2009-10: YES (5/5 pts), 0.9971 &gt; 0.98</w:t>
      </w:r>
    </w:p>
    <w:p>
      <w:pPr>
        <w:spacing w:line="240" w:lineRule="auto" w:before="0"/>
        <w:rPr>
          <w:sz w:val="72"/>
        </w:rPr>
      </w:pPr>
    </w:p>
    <w:p>
      <w:pPr>
        <w:spacing w:before="504"/>
        <w:ind w:left="1064" w:right="0" w:firstLine="0"/>
        <w:jc w:val="left"/>
        <w:rPr>
          <w:sz w:val="40"/>
        </w:rPr>
      </w:pPr>
      <w:r>
        <w:rPr>
          <w:sz w:val="40"/>
        </w:rPr>
        <w:t>Prior Year 2008-09: Yes (5/5 pts), 1.003 &gt; 0.98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3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3" w:val="left" w:leader="none"/>
          <w:tab w:pos="1064" w:val="left" w:leader="none"/>
        </w:tabs>
        <w:spacing w:line="249" w:lineRule="auto" w:before="83" w:after="0"/>
        <w:ind w:left="1064" w:right="161" w:hanging="960"/>
        <w:jc w:val="left"/>
        <w:rPr>
          <w:b/>
          <w:sz w:val="56"/>
        </w:rPr>
      </w:pPr>
      <w:r>
        <w:rPr>
          <w:b/>
          <w:sz w:val="56"/>
        </w:rPr>
        <w:t>Did The Comparisons Of PEIMS Data To Like Information In Annual Financial Report Result In An Aggregate Variance Of Less Than 3 Percent Of Expenditures Per Fund Type (Data Quality</w:t>
      </w:r>
      <w:r>
        <w:rPr>
          <w:b/>
          <w:spacing w:val="7"/>
          <w:sz w:val="56"/>
        </w:rPr>
        <w:t> </w:t>
      </w:r>
      <w:r>
        <w:rPr>
          <w:b/>
          <w:sz w:val="56"/>
        </w:rPr>
        <w:t>Measure)?</w:t>
      </w:r>
    </w:p>
    <w:p>
      <w:pPr>
        <w:spacing w:line="240" w:lineRule="auto" w:before="1"/>
        <w:rPr>
          <w:b/>
          <w:sz w:val="82"/>
        </w:rPr>
      </w:pPr>
    </w:p>
    <w:p>
      <w:pPr>
        <w:spacing w:before="0"/>
        <w:ind w:left="1664" w:right="0" w:firstLine="0"/>
        <w:jc w:val="left"/>
        <w:rPr>
          <w:sz w:val="56"/>
        </w:rPr>
      </w:pPr>
      <w:r>
        <w:rPr>
          <w:sz w:val="56"/>
        </w:rPr>
        <w:t>2009-10: YES (5/5 pts), 0 &lt; 0.03</w:t>
      </w:r>
    </w:p>
    <w:p>
      <w:pPr>
        <w:spacing w:line="240" w:lineRule="auto" w:before="4"/>
        <w:rPr>
          <w:sz w:val="80"/>
        </w:rPr>
      </w:pPr>
    </w:p>
    <w:p>
      <w:pPr>
        <w:spacing w:before="0"/>
        <w:ind w:left="1664" w:right="0" w:firstLine="0"/>
        <w:jc w:val="left"/>
        <w:rPr>
          <w:sz w:val="40"/>
        </w:rPr>
      </w:pPr>
      <w:r>
        <w:rPr>
          <w:sz w:val="40"/>
        </w:rPr>
        <w:t>Prior Year 2008-09: YES, (5/5 pts), 0.0003 &lt; 0.03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538" w:lineRule="exact" w:before="150" w:after="0"/>
        <w:ind w:left="1064" w:right="869" w:hanging="96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136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6"/>
        </w:rPr>
        <w:t>Were Debt Related Expenditures (Net Of IFA And/Or EDA Allotment) &lt; $350.00 Per Student?</w:t>
      </w:r>
    </w:p>
    <w:p>
      <w:pPr>
        <w:spacing w:line="213" w:lineRule="auto" w:before="264"/>
        <w:ind w:left="1064" w:right="108" w:firstLine="0"/>
        <w:jc w:val="left"/>
        <w:rPr>
          <w:b/>
          <w:sz w:val="36"/>
        </w:rPr>
      </w:pPr>
      <w:r>
        <w:rPr>
          <w:b/>
          <w:sz w:val="36"/>
        </w:rPr>
        <w:t>(If The District's Five-Year Percent Change In Students = Or &gt; 7%,</w:t>
      </w:r>
      <w:r>
        <w:rPr>
          <w:b/>
          <w:spacing w:val="-10"/>
          <w:sz w:val="36"/>
        </w:rPr>
        <w:t> </w:t>
      </w:r>
      <w:r>
        <w:rPr>
          <w:b/>
          <w:sz w:val="36"/>
        </w:rPr>
        <w:t>Or If Property Taxes Collected Per Penny Of Tax Effort &gt; $200,000, Then Answer This Indicator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Yes)</w:t>
      </w:r>
    </w:p>
    <w:p>
      <w:pPr>
        <w:spacing w:line="240" w:lineRule="auto" w:before="0"/>
        <w:rPr>
          <w:b/>
          <w:sz w:val="40"/>
        </w:rPr>
      </w:pPr>
    </w:p>
    <w:p>
      <w:pPr>
        <w:spacing w:line="240" w:lineRule="auto" w:before="0"/>
        <w:rPr>
          <w:b/>
          <w:sz w:val="40"/>
        </w:rPr>
      </w:pPr>
    </w:p>
    <w:p>
      <w:pPr>
        <w:spacing w:line="506" w:lineRule="exact" w:before="262"/>
        <w:ind w:left="1064" w:right="0" w:firstLine="0"/>
        <w:jc w:val="left"/>
        <w:rPr>
          <w:sz w:val="48"/>
        </w:rPr>
      </w:pPr>
      <w:r>
        <w:rPr>
          <w:sz w:val="48"/>
        </w:rPr>
        <w:t>2009-10: YES (5/5 pts), Tax Collections ($560,370 &gt;</w:t>
      </w:r>
    </w:p>
    <w:p>
      <w:pPr>
        <w:spacing w:line="506" w:lineRule="exact" w:before="0"/>
        <w:ind w:left="1064" w:right="0" w:firstLine="0"/>
        <w:jc w:val="left"/>
        <w:rPr>
          <w:sz w:val="48"/>
        </w:rPr>
      </w:pPr>
      <w:r>
        <w:rPr>
          <w:sz w:val="48"/>
        </w:rPr>
        <w:t>$200,000)</w:t>
      </w:r>
    </w:p>
    <w:p>
      <w:pPr>
        <w:spacing w:line="240" w:lineRule="auto" w:before="7"/>
        <w:rPr>
          <w:sz w:val="43"/>
        </w:rPr>
      </w:pPr>
    </w:p>
    <w:p>
      <w:pPr>
        <w:spacing w:line="422" w:lineRule="exact"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2008-09: YES (5/5 pts), Tax Collections ($537,306 &gt;</w:t>
      </w:r>
    </w:p>
    <w:p>
      <w:pPr>
        <w:spacing w:line="422" w:lineRule="exact" w:before="0"/>
        <w:ind w:left="1064" w:right="0" w:firstLine="0"/>
        <w:jc w:val="left"/>
        <w:rPr>
          <w:sz w:val="40"/>
        </w:rPr>
      </w:pPr>
      <w:r>
        <w:rPr>
          <w:sz w:val="40"/>
        </w:rPr>
        <w:t>$200,000)</w:t>
      </w:r>
    </w:p>
    <w:p>
      <w:pPr>
        <w:spacing w:after="0" w:line="422" w:lineRule="exact"/>
        <w:jc w:val="left"/>
        <w:rPr>
          <w:sz w:val="40"/>
        </w:rPr>
        <w:sectPr>
          <w:pgSz w:w="14400" w:h="10800" w:orient="landscape"/>
          <w:pgMar w:header="371" w:footer="0" w:top="2420" w:bottom="280" w:left="760" w:right="76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38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2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4" w:val="left" w:leader="none"/>
        </w:tabs>
        <w:spacing w:line="249" w:lineRule="auto" w:before="78" w:after="0"/>
        <w:ind w:left="1544" w:right="1645" w:hanging="1440"/>
        <w:jc w:val="both"/>
        <w:rPr>
          <w:b/>
          <w:sz w:val="64"/>
        </w:rPr>
      </w:pPr>
      <w:r>
        <w:rPr>
          <w:b/>
          <w:sz w:val="64"/>
        </w:rPr>
        <w:t>Was There No Disclosure In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The Annual Audit Report Of Material Noncompliance?</w:t>
      </w:r>
    </w:p>
    <w:p>
      <w:pPr>
        <w:spacing w:line="240" w:lineRule="auto" w:before="0"/>
        <w:rPr>
          <w:b/>
          <w:sz w:val="70"/>
        </w:rPr>
      </w:pPr>
    </w:p>
    <w:p>
      <w:pPr>
        <w:spacing w:before="423"/>
        <w:ind w:left="1544" w:right="0" w:firstLine="0"/>
        <w:jc w:val="left"/>
        <w:rPr>
          <w:sz w:val="48"/>
        </w:rPr>
      </w:pPr>
      <w:r>
        <w:rPr>
          <w:sz w:val="48"/>
        </w:rPr>
        <w:t>2009-10: YES (5/5 pts), No Material Noncompliance</w:t>
      </w:r>
    </w:p>
    <w:p>
      <w:pPr>
        <w:spacing w:line="240" w:lineRule="auto" w:before="0"/>
        <w:rPr>
          <w:sz w:val="54"/>
        </w:rPr>
      </w:pPr>
    </w:p>
    <w:p>
      <w:pPr>
        <w:spacing w:line="240" w:lineRule="auto" w:before="8"/>
        <w:rPr>
          <w:sz w:val="54"/>
        </w:rPr>
      </w:pPr>
    </w:p>
    <w:p>
      <w:pPr>
        <w:spacing w:before="0"/>
        <w:ind w:left="1544" w:right="0" w:firstLine="0"/>
        <w:jc w:val="left"/>
        <w:rPr>
          <w:sz w:val="40"/>
        </w:rPr>
      </w:pPr>
      <w:r>
        <w:rPr>
          <w:sz w:val="40"/>
        </w:rPr>
        <w:t>Prior Year 2008-09: YES (5/5 pts), No Material Noncompliance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640" w:right="80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40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624" w:val="left" w:leader="none"/>
          <w:tab w:pos="8704" w:val="left" w:leader="none"/>
        </w:tabs>
        <w:spacing w:line="249" w:lineRule="auto" w:before="83" w:after="0"/>
        <w:ind w:left="1624" w:right="511" w:hanging="840"/>
        <w:jc w:val="left"/>
        <w:rPr>
          <w:b/>
          <w:sz w:val="56"/>
        </w:rPr>
      </w:pPr>
      <w:r>
        <w:rPr>
          <w:b/>
          <w:sz w:val="56"/>
        </w:rPr>
        <w:t>Did The District Have</w:t>
      </w:r>
      <w:r>
        <w:rPr>
          <w:b/>
          <w:spacing w:val="1"/>
          <w:sz w:val="56"/>
        </w:rPr>
        <w:t> </w:t>
      </w:r>
      <w:r>
        <w:rPr>
          <w:b/>
          <w:sz w:val="56"/>
        </w:rPr>
        <w:t>Full</w:t>
        <w:tab/>
        <w:t>Accreditation Status In Relation To Financial Management</w:t>
      </w:r>
      <w:r>
        <w:rPr>
          <w:b/>
          <w:spacing w:val="8"/>
          <w:sz w:val="56"/>
        </w:rPr>
        <w:t> </w:t>
      </w:r>
      <w:r>
        <w:rPr>
          <w:b/>
          <w:sz w:val="56"/>
        </w:rPr>
        <w:t>Practices?</w:t>
      </w:r>
    </w:p>
    <w:p>
      <w:pPr>
        <w:spacing w:before="287"/>
        <w:ind w:left="1624" w:right="0" w:firstLine="0"/>
        <w:jc w:val="left"/>
        <w:rPr>
          <w:b/>
          <w:sz w:val="40"/>
        </w:rPr>
      </w:pPr>
      <w:r>
        <w:rPr>
          <w:b/>
          <w:sz w:val="40"/>
        </w:rPr>
        <w:t>(e.g. No Conservator (Master) Or Monitor Assigned)</w:t>
      </w:r>
    </w:p>
    <w:p>
      <w:pPr>
        <w:spacing w:line="240" w:lineRule="auto" w:before="0"/>
        <w:rPr>
          <w:b/>
          <w:sz w:val="44"/>
        </w:rPr>
      </w:pPr>
    </w:p>
    <w:p>
      <w:pPr>
        <w:spacing w:line="240" w:lineRule="auto" w:before="0"/>
        <w:rPr>
          <w:b/>
          <w:sz w:val="44"/>
        </w:rPr>
      </w:pPr>
    </w:p>
    <w:p>
      <w:pPr>
        <w:spacing w:before="336"/>
        <w:ind w:left="1624" w:right="0" w:firstLine="0"/>
        <w:jc w:val="left"/>
        <w:rPr>
          <w:sz w:val="56"/>
        </w:rPr>
      </w:pPr>
      <w:r>
        <w:rPr>
          <w:sz w:val="56"/>
        </w:rPr>
        <w:t>2009-10: YES (5/5 pts)</w:t>
      </w:r>
    </w:p>
    <w:p>
      <w:pPr>
        <w:spacing w:line="240" w:lineRule="auto" w:before="2"/>
        <w:rPr>
          <w:sz w:val="67"/>
        </w:rPr>
      </w:pPr>
    </w:p>
    <w:p>
      <w:pPr>
        <w:spacing w:before="0"/>
        <w:ind w:left="1624" w:right="0" w:firstLine="0"/>
        <w:jc w:val="left"/>
        <w:rPr>
          <w:sz w:val="40"/>
        </w:rPr>
      </w:pPr>
      <w:r>
        <w:rPr>
          <w:sz w:val="40"/>
        </w:rPr>
        <w:t>Prior Year 2008-09: YES (5/5 pts)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692" w:lineRule="exact" w:before="162" w:after="0"/>
        <w:ind w:left="1064" w:right="198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43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Was The Aggregate Of Budgeted Expenditures And Other Uses Less Than The Aggregate Of Total Revenues, Other Resources and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Fund Balance In General</w:t>
      </w:r>
      <w:r>
        <w:rPr>
          <w:b/>
          <w:spacing w:val="-13"/>
          <w:sz w:val="64"/>
        </w:rPr>
        <w:t> </w:t>
      </w:r>
      <w:r>
        <w:rPr>
          <w:b/>
          <w:sz w:val="64"/>
        </w:rPr>
        <w:t>Fund?</w:t>
      </w:r>
    </w:p>
    <w:p>
      <w:pPr>
        <w:spacing w:line="240" w:lineRule="auto" w:before="8"/>
        <w:rPr>
          <w:b/>
          <w:sz w:val="82"/>
        </w:rPr>
      </w:pPr>
    </w:p>
    <w:p>
      <w:pPr>
        <w:spacing w:before="0"/>
        <w:ind w:left="1064" w:right="0" w:firstLine="0"/>
        <w:jc w:val="left"/>
        <w:rPr>
          <w:sz w:val="64"/>
        </w:rPr>
      </w:pPr>
      <w:r>
        <w:rPr>
          <w:sz w:val="64"/>
        </w:rPr>
        <w:t>2009-10: YES (5/5 pts), -19,048,477 &lt; 0</w:t>
      </w:r>
    </w:p>
    <w:p>
      <w:pPr>
        <w:spacing w:line="240" w:lineRule="auto" w:before="5"/>
        <w:rPr>
          <w:sz w:val="102"/>
        </w:rPr>
      </w:pPr>
    </w:p>
    <w:p>
      <w:pPr>
        <w:spacing w:before="0"/>
        <w:ind w:left="1064" w:right="0" w:firstLine="0"/>
        <w:jc w:val="left"/>
        <w:rPr>
          <w:sz w:val="40"/>
        </w:rPr>
      </w:pPr>
      <w:r>
        <w:rPr>
          <w:sz w:val="40"/>
        </w:rPr>
        <w:t>Prior Year 2008-09: YES (5/5 pts), -24,963,404 &lt;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8"/>
        </w:rPr>
      </w:pPr>
      <w:r>
        <w:rPr/>
        <w:drawing>
          <wp:anchor distT="0" distB="0" distL="0" distR="0" allowOverlap="1" layoutInCell="1" locked="0" behindDoc="0" simplePos="0" relativeHeight="145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624" w:val="left" w:leader="none"/>
        </w:tabs>
        <w:spacing w:line="249" w:lineRule="auto" w:before="84" w:after="0"/>
        <w:ind w:left="1624" w:right="399" w:hanging="840"/>
        <w:jc w:val="left"/>
        <w:rPr>
          <w:b/>
          <w:sz w:val="48"/>
        </w:rPr>
      </w:pPr>
      <w:r>
        <w:rPr>
          <w:b/>
          <w:sz w:val="48"/>
        </w:rPr>
        <w:t>If The District's Aggregate Fund Balance In</w:t>
      </w:r>
      <w:r>
        <w:rPr>
          <w:b/>
          <w:spacing w:val="-14"/>
          <w:sz w:val="48"/>
        </w:rPr>
        <w:t> </w:t>
      </w:r>
      <w:r>
        <w:rPr>
          <w:b/>
          <w:sz w:val="48"/>
        </w:rPr>
        <w:t>The General Fund And Capital Projects Fund Was Less Than Zero, Were Construction Projects Adequately</w:t>
      </w:r>
      <w:r>
        <w:rPr>
          <w:b/>
          <w:spacing w:val="-6"/>
          <w:sz w:val="48"/>
        </w:rPr>
        <w:t> </w:t>
      </w:r>
      <w:r>
        <w:rPr>
          <w:b/>
          <w:sz w:val="48"/>
        </w:rPr>
        <w:t>Financed?</w:t>
      </w:r>
    </w:p>
    <w:p>
      <w:pPr>
        <w:spacing w:line="333" w:lineRule="auto" w:before="230"/>
        <w:ind w:left="1624" w:right="1135" w:firstLine="0"/>
        <w:jc w:val="left"/>
        <w:rPr>
          <w:b/>
          <w:sz w:val="36"/>
        </w:rPr>
      </w:pPr>
      <w:r>
        <w:rPr>
          <w:b/>
          <w:sz w:val="36"/>
        </w:rPr>
        <w:t>(To Avoid Creating Or Adding To The Fund Balance Deficit Situation)</w:t>
      </w:r>
    </w:p>
    <w:p>
      <w:pPr>
        <w:spacing w:line="240" w:lineRule="auto" w:before="0"/>
        <w:rPr>
          <w:b/>
          <w:sz w:val="40"/>
        </w:rPr>
      </w:pPr>
    </w:p>
    <w:p>
      <w:pPr>
        <w:spacing w:before="261"/>
        <w:ind w:left="1624" w:right="0" w:firstLine="0"/>
        <w:jc w:val="left"/>
        <w:rPr>
          <w:sz w:val="56"/>
        </w:rPr>
      </w:pPr>
      <w:r>
        <w:rPr>
          <w:sz w:val="56"/>
        </w:rPr>
        <w:t>2009-10: YES (5/5 pts), -69,525,424 &lt; 0.00</w:t>
      </w:r>
    </w:p>
    <w:p>
      <w:pPr>
        <w:spacing w:line="240" w:lineRule="auto" w:before="8"/>
        <w:rPr>
          <w:sz w:val="78"/>
        </w:rPr>
      </w:pPr>
    </w:p>
    <w:p>
      <w:pPr>
        <w:spacing w:before="1"/>
        <w:ind w:left="1624" w:right="0" w:firstLine="0"/>
        <w:jc w:val="left"/>
        <w:rPr>
          <w:sz w:val="40"/>
        </w:rPr>
      </w:pPr>
      <w:r>
        <w:rPr>
          <w:sz w:val="40"/>
        </w:rPr>
        <w:t>Prior Year 2008-09: YES (5/5 pts), -94,479,338 &lt; 0.00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ListParagraph"/>
        <w:numPr>
          <w:ilvl w:val="0"/>
          <w:numId w:val="1"/>
        </w:numPr>
        <w:tabs>
          <w:tab w:pos="1384" w:val="left" w:leader="none"/>
        </w:tabs>
        <w:spacing w:line="518" w:lineRule="exact" w:before="164" w:after="0"/>
        <w:ind w:left="1384" w:right="103" w:hanging="810"/>
        <w:jc w:val="left"/>
        <w:rPr>
          <w:b/>
          <w:sz w:val="48"/>
        </w:rPr>
      </w:pPr>
      <w:r>
        <w:rPr/>
        <w:drawing>
          <wp:anchor distT="0" distB="0" distL="0" distR="0" allowOverlap="1" layoutInCell="1" locked="0" behindDoc="0" simplePos="0" relativeHeight="148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8"/>
        </w:rPr>
        <w:t>Was The Ratio Of Cash And Investments To Deferred Revenues (Excluding Amount Equal To Net Delinquent Taxes Receivables) In The</w:t>
      </w:r>
      <w:r>
        <w:rPr>
          <w:b/>
          <w:spacing w:val="-12"/>
          <w:sz w:val="48"/>
        </w:rPr>
        <w:t> </w:t>
      </w:r>
      <w:r>
        <w:rPr>
          <w:b/>
          <w:sz w:val="48"/>
        </w:rPr>
        <w:t>General Fund Greater than or equal to</w:t>
      </w:r>
      <w:r>
        <w:rPr>
          <w:b/>
          <w:spacing w:val="-13"/>
          <w:sz w:val="48"/>
        </w:rPr>
        <w:t> </w:t>
      </w:r>
      <w:r>
        <w:rPr>
          <w:b/>
          <w:sz w:val="48"/>
        </w:rPr>
        <w:t>1:1?</w:t>
      </w:r>
    </w:p>
    <w:p>
      <w:pPr>
        <w:spacing w:line="388" w:lineRule="exact" w:before="405"/>
        <w:ind w:left="1384" w:right="0" w:firstLine="0"/>
        <w:jc w:val="left"/>
        <w:rPr>
          <w:b/>
          <w:sz w:val="36"/>
        </w:rPr>
      </w:pPr>
      <w:r>
        <w:rPr>
          <w:b/>
          <w:sz w:val="36"/>
        </w:rPr>
        <w:t>(If Deferred Revenues are less than Net Delinquent Taxes Receivable, Then Answer This Indicator Yes)</w:t>
      </w:r>
    </w:p>
    <w:p>
      <w:pPr>
        <w:spacing w:line="240" w:lineRule="auto" w:before="2"/>
        <w:rPr>
          <w:b/>
          <w:sz w:val="49"/>
        </w:rPr>
      </w:pPr>
    </w:p>
    <w:p>
      <w:pPr>
        <w:spacing w:before="1"/>
        <w:ind w:left="1384" w:right="0" w:firstLine="0"/>
        <w:jc w:val="left"/>
        <w:rPr>
          <w:sz w:val="56"/>
        </w:rPr>
      </w:pPr>
      <w:r>
        <w:rPr>
          <w:sz w:val="56"/>
        </w:rPr>
        <w:t>2009-10: YES (5/5 pts), 73.3612 &gt;= 1</w:t>
      </w:r>
    </w:p>
    <w:p>
      <w:pPr>
        <w:spacing w:line="240" w:lineRule="auto" w:before="7"/>
        <w:rPr>
          <w:sz w:val="85"/>
        </w:rPr>
      </w:pPr>
    </w:p>
    <w:p>
      <w:pPr>
        <w:spacing w:before="0"/>
        <w:ind w:left="1384" w:right="0" w:firstLine="0"/>
        <w:jc w:val="left"/>
        <w:rPr>
          <w:sz w:val="40"/>
        </w:rPr>
      </w:pPr>
      <w:r>
        <w:rPr>
          <w:sz w:val="40"/>
        </w:rPr>
        <w:t>Prior Year 2008-09: YES (5/5 pts), 68.0301 &gt;= 1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700"/>
        </w:sectPr>
      </w:pPr>
    </w:p>
    <w:p>
      <w:pPr>
        <w:spacing w:line="240" w:lineRule="auto" w:before="3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0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3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384" w:val="left" w:leader="none"/>
        </w:tabs>
        <w:spacing w:line="249" w:lineRule="auto" w:before="83" w:after="0"/>
        <w:ind w:left="1384" w:right="666" w:hanging="840"/>
        <w:jc w:val="left"/>
        <w:rPr>
          <w:b/>
          <w:sz w:val="56"/>
        </w:rPr>
      </w:pPr>
      <w:r>
        <w:rPr>
          <w:b/>
          <w:sz w:val="56"/>
        </w:rPr>
        <w:t>Was The Administrative Cost Ratio Less Than The Threshold</w:t>
      </w:r>
      <w:r>
        <w:rPr>
          <w:b/>
          <w:spacing w:val="5"/>
          <w:sz w:val="56"/>
        </w:rPr>
        <w:t> </w:t>
      </w:r>
      <w:r>
        <w:rPr>
          <w:b/>
          <w:sz w:val="56"/>
        </w:rPr>
        <w:t>Ratio?</w:t>
      </w:r>
    </w:p>
    <w:p>
      <w:pPr>
        <w:spacing w:line="240" w:lineRule="auto" w:before="0"/>
        <w:rPr>
          <w:b/>
          <w:sz w:val="62"/>
        </w:rPr>
      </w:pPr>
    </w:p>
    <w:p>
      <w:pPr>
        <w:spacing w:line="266" w:lineRule="auto" w:before="518"/>
        <w:ind w:left="2704" w:right="0" w:hanging="1441"/>
        <w:jc w:val="left"/>
        <w:rPr>
          <w:sz w:val="48"/>
        </w:rPr>
      </w:pPr>
      <w:r>
        <w:rPr>
          <w:sz w:val="46"/>
        </w:rPr>
        <w:t>2009-10: YES (5/5 pts), </w:t>
      </w:r>
      <w:r>
        <w:rPr>
          <w:sz w:val="48"/>
        </w:rPr>
        <w:t>State Acceptable 0.125 &gt; 0.100965 District</w:t>
      </w:r>
    </w:p>
    <w:p>
      <w:pPr>
        <w:spacing w:line="240" w:lineRule="auto" w:before="0"/>
        <w:rPr>
          <w:sz w:val="54"/>
        </w:rPr>
      </w:pPr>
    </w:p>
    <w:p>
      <w:pPr>
        <w:spacing w:line="278" w:lineRule="auto" w:before="391"/>
        <w:ind w:left="2814" w:right="0" w:hanging="1551"/>
        <w:jc w:val="left"/>
        <w:rPr>
          <w:sz w:val="40"/>
        </w:rPr>
      </w:pPr>
      <w:r>
        <w:rPr>
          <w:sz w:val="40"/>
        </w:rPr>
        <w:t>Prior Year 2008-09: YES (5/5 pts), State Acceptable 0.125 &gt; 0.0974 District</w:t>
      </w:r>
    </w:p>
    <w:p>
      <w:pPr>
        <w:spacing w:after="0" w:line="278" w:lineRule="auto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2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249" w:lineRule="auto" w:before="78" w:after="0"/>
        <w:ind w:left="1064" w:right="945" w:hanging="960"/>
        <w:jc w:val="left"/>
        <w:rPr>
          <w:b/>
          <w:sz w:val="64"/>
        </w:rPr>
      </w:pPr>
      <w:r>
        <w:rPr>
          <w:b/>
          <w:sz w:val="64"/>
        </w:rPr>
        <w:t>Was The Ratio Of Students To Teachers Within the Ranges</w:t>
      </w:r>
      <w:r>
        <w:rPr>
          <w:b/>
          <w:spacing w:val="-21"/>
          <w:sz w:val="64"/>
        </w:rPr>
        <w:t> </w:t>
      </w:r>
      <w:r>
        <w:rPr>
          <w:b/>
          <w:sz w:val="64"/>
        </w:rPr>
        <w:t>Shown Below According To District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064" w:right="0" w:firstLine="0"/>
        <w:jc w:val="left"/>
        <w:rPr>
          <w:sz w:val="56"/>
        </w:rPr>
      </w:pPr>
      <w:r>
        <w:rPr>
          <w:sz w:val="56"/>
        </w:rPr>
        <w:t>2009-10: YES (5/5 pts), 14.2047 &gt; 13 And</w:t>
      </w:r>
    </w:p>
    <w:p>
      <w:pPr>
        <w:spacing w:before="45"/>
        <w:ind w:left="2984" w:right="0" w:firstLine="0"/>
        <w:jc w:val="left"/>
        <w:rPr>
          <w:sz w:val="56"/>
        </w:rPr>
      </w:pPr>
      <w:r>
        <w:rPr>
          <w:sz w:val="56"/>
        </w:rPr>
        <w:t>14.2047 &lt; 22</w:t>
      </w:r>
    </w:p>
    <w:p>
      <w:pPr>
        <w:spacing w:line="240" w:lineRule="auto" w:before="0"/>
        <w:rPr>
          <w:sz w:val="62"/>
        </w:rPr>
      </w:pPr>
    </w:p>
    <w:p>
      <w:pPr>
        <w:spacing w:before="502"/>
        <w:ind w:left="1064" w:right="0" w:firstLine="0"/>
        <w:jc w:val="left"/>
        <w:rPr>
          <w:sz w:val="40"/>
        </w:rPr>
      </w:pPr>
      <w:r>
        <w:rPr>
          <w:sz w:val="40"/>
        </w:rPr>
        <w:t>Prior Year 2008-09: YES, 14.5543 &gt; 13 And 14.5543 &lt; 22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55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3" w:val="left" w:leader="none"/>
          <w:tab w:pos="1544" w:val="left" w:leader="none"/>
        </w:tabs>
        <w:spacing w:line="249" w:lineRule="auto" w:before="78" w:after="0"/>
        <w:ind w:left="1544" w:right="431" w:hanging="1440"/>
        <w:jc w:val="left"/>
        <w:rPr>
          <w:b/>
          <w:sz w:val="64"/>
        </w:rPr>
      </w:pPr>
      <w:r>
        <w:rPr>
          <w:b/>
          <w:sz w:val="64"/>
        </w:rPr>
        <w:t>Was The Ratio Of Students To</w:t>
      </w:r>
      <w:r>
        <w:rPr>
          <w:b/>
          <w:spacing w:val="-21"/>
          <w:sz w:val="64"/>
        </w:rPr>
        <w:t> </w:t>
      </w:r>
      <w:r>
        <w:rPr>
          <w:b/>
          <w:sz w:val="64"/>
        </w:rPr>
        <w:t>Total Staff Within the Ranges Shown Below According To District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Size?</w:t>
      </w:r>
    </w:p>
    <w:p>
      <w:pPr>
        <w:spacing w:line="240" w:lineRule="auto" w:before="3"/>
        <w:rPr>
          <w:b/>
          <w:sz w:val="100"/>
        </w:rPr>
      </w:pPr>
    </w:p>
    <w:p>
      <w:pPr>
        <w:spacing w:before="0"/>
        <w:ind w:left="1544" w:right="0" w:firstLine="0"/>
        <w:jc w:val="left"/>
        <w:rPr>
          <w:sz w:val="56"/>
        </w:rPr>
      </w:pPr>
      <w:r>
        <w:rPr>
          <w:sz w:val="56"/>
        </w:rPr>
        <w:t>2009-10: YES (5/5 pts), 7.6145 &gt; 6.8 and</w:t>
      </w:r>
    </w:p>
    <w:p>
      <w:pPr>
        <w:spacing w:before="45"/>
        <w:ind w:left="2984" w:right="0" w:firstLine="0"/>
        <w:jc w:val="left"/>
        <w:rPr>
          <w:sz w:val="56"/>
        </w:rPr>
      </w:pPr>
      <w:r>
        <w:rPr>
          <w:sz w:val="56"/>
        </w:rPr>
        <w:t>7.6145 &lt; 14</w:t>
      </w:r>
    </w:p>
    <w:p>
      <w:pPr>
        <w:spacing w:line="240" w:lineRule="auto" w:before="0"/>
        <w:rPr>
          <w:sz w:val="62"/>
        </w:rPr>
      </w:pPr>
    </w:p>
    <w:p>
      <w:pPr>
        <w:spacing w:line="240" w:lineRule="auto" w:before="11"/>
        <w:rPr>
          <w:sz w:val="56"/>
        </w:rPr>
      </w:pPr>
    </w:p>
    <w:p>
      <w:pPr>
        <w:spacing w:before="0"/>
        <w:ind w:left="1544" w:right="0" w:firstLine="0"/>
        <w:jc w:val="left"/>
        <w:rPr>
          <w:sz w:val="36"/>
        </w:rPr>
      </w:pPr>
      <w:r>
        <w:rPr>
          <w:sz w:val="36"/>
        </w:rPr>
        <w:t>Prior Year 2008-09: YES (5/5 pts), 7.8735 &gt; 6.8 and 7.8735 &lt; 14</w:t>
      </w:r>
    </w:p>
    <w:p>
      <w:pPr>
        <w:spacing w:after="0"/>
        <w:jc w:val="left"/>
        <w:rPr>
          <w:sz w:val="36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538" w:lineRule="exact" w:before="150" w:after="0"/>
        <w:ind w:left="1064" w:right="114" w:hanging="96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157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6"/>
        </w:rPr>
        <w:t>Was The Total Fund Balance In The General Fund More Than 50% And Less Than 150% Of Optimum According To The Fund Balance And Cash Flow Calculation Worksheet In The Annual Financial</w:t>
      </w:r>
      <w:r>
        <w:rPr>
          <w:b/>
          <w:spacing w:val="5"/>
          <w:sz w:val="56"/>
        </w:rPr>
        <w:t> </w:t>
      </w:r>
      <w:r>
        <w:rPr>
          <w:b/>
          <w:sz w:val="56"/>
        </w:rPr>
        <w:t>Report?</w:t>
      </w:r>
    </w:p>
    <w:p>
      <w:pPr>
        <w:spacing w:line="240" w:lineRule="auto" w:before="10"/>
        <w:rPr>
          <w:b/>
          <w:sz w:val="61"/>
        </w:rPr>
      </w:pPr>
    </w:p>
    <w:p>
      <w:pPr>
        <w:spacing w:line="591" w:lineRule="exact" w:before="0"/>
        <w:ind w:left="1544" w:right="0" w:firstLine="0"/>
        <w:jc w:val="left"/>
        <w:rPr>
          <w:sz w:val="56"/>
        </w:rPr>
      </w:pPr>
      <w:r>
        <w:rPr>
          <w:sz w:val="56"/>
        </w:rPr>
        <w:t>2009-10: YES (5/5 pts), 121.5158% for</w:t>
      </w:r>
    </w:p>
    <w:p>
      <w:pPr>
        <w:spacing w:line="591" w:lineRule="exact" w:before="0"/>
        <w:ind w:left="1544" w:right="0" w:firstLine="0"/>
        <w:jc w:val="left"/>
        <w:rPr>
          <w:sz w:val="56"/>
        </w:rPr>
      </w:pPr>
      <w:r>
        <w:rPr>
          <w:sz w:val="56"/>
        </w:rPr>
        <w:t>29,379,165 versus Optimum at 24,177,245</w:t>
      </w:r>
    </w:p>
    <w:p>
      <w:pPr>
        <w:spacing w:line="240" w:lineRule="auto" w:before="3"/>
        <w:rPr>
          <w:sz w:val="66"/>
        </w:rPr>
      </w:pPr>
    </w:p>
    <w:p>
      <w:pPr>
        <w:spacing w:line="384" w:lineRule="exact" w:before="0"/>
        <w:ind w:left="1544" w:right="529" w:firstLine="0"/>
        <w:jc w:val="left"/>
        <w:rPr>
          <w:sz w:val="40"/>
        </w:rPr>
      </w:pPr>
      <w:r>
        <w:rPr>
          <w:sz w:val="40"/>
        </w:rPr>
        <w:t>Prior Year 2008-09: YES (5/5 pts), 134.8281% for 24,834,177 versus Optimum at 18,419,137</w:t>
      </w:r>
    </w:p>
    <w:p>
      <w:pPr>
        <w:spacing w:after="0" w:line="384" w:lineRule="exact"/>
        <w:jc w:val="left"/>
        <w:rPr>
          <w:sz w:val="40"/>
        </w:rPr>
        <w:sectPr>
          <w:pgSz w:w="14400" w:h="10800" w:orient="landscape"/>
          <w:pgMar w:header="371" w:footer="0" w:top="2420" w:bottom="280" w:left="760" w:right="780"/>
        </w:sectPr>
      </w:pPr>
    </w:p>
    <w:p>
      <w:pPr>
        <w:pStyle w:val="ListParagraph"/>
        <w:numPr>
          <w:ilvl w:val="0"/>
          <w:numId w:val="1"/>
        </w:numPr>
        <w:tabs>
          <w:tab w:pos="1064" w:val="left" w:leader="none"/>
        </w:tabs>
        <w:spacing w:line="692" w:lineRule="exact" w:before="162" w:after="0"/>
        <w:ind w:left="1064" w:right="246" w:hanging="96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60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Was The Decrease In Undesignated Unreserved Fund Balance &lt; 20%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Over Two Fiscal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Years?</w:t>
      </w:r>
    </w:p>
    <w:p>
      <w:pPr>
        <w:spacing w:line="388" w:lineRule="exact" w:before="89"/>
        <w:ind w:left="1064" w:right="123" w:firstLine="0"/>
        <w:jc w:val="left"/>
        <w:rPr>
          <w:b/>
          <w:sz w:val="36"/>
        </w:rPr>
      </w:pPr>
      <w:r>
        <w:rPr>
          <w:b/>
          <w:sz w:val="36"/>
        </w:rPr>
        <w:t>(If 1.5 Times Optimum Fund Balance &lt; Total Fund Balance In General Fund Or If Total Revenues &gt; Operating Expenditures In The General Fund, Then District Receives 5 pts)</w:t>
      </w:r>
    </w:p>
    <w:p>
      <w:pPr>
        <w:spacing w:line="240" w:lineRule="auto" w:before="9"/>
        <w:rPr>
          <w:b/>
          <w:sz w:val="55"/>
        </w:rPr>
      </w:pPr>
    </w:p>
    <w:p>
      <w:pPr>
        <w:spacing w:line="518" w:lineRule="exact" w:before="0"/>
        <w:ind w:left="1064" w:right="123" w:firstLine="0"/>
        <w:jc w:val="left"/>
        <w:rPr>
          <w:sz w:val="48"/>
        </w:rPr>
      </w:pPr>
      <w:r>
        <w:rPr>
          <w:sz w:val="48"/>
        </w:rPr>
        <w:t>2009-10: YES (5/5 pts), No Decrease in Fund Balance from 2 years prior,&amp; Total Revenues exceed Operating</w:t>
      </w:r>
    </w:p>
    <w:p>
      <w:pPr>
        <w:spacing w:before="101"/>
        <w:ind w:left="1064" w:right="0" w:firstLine="0"/>
        <w:jc w:val="left"/>
        <w:rPr>
          <w:sz w:val="48"/>
        </w:rPr>
      </w:pPr>
      <w:r>
        <w:rPr>
          <w:sz w:val="48"/>
        </w:rPr>
        <w:t>Expenditures in the General Fund.</w:t>
      </w:r>
    </w:p>
    <w:p>
      <w:pPr>
        <w:spacing w:before="367"/>
        <w:ind w:left="1064" w:right="0" w:firstLine="0"/>
        <w:jc w:val="left"/>
        <w:rPr>
          <w:sz w:val="40"/>
        </w:rPr>
      </w:pPr>
      <w:r>
        <w:rPr>
          <w:sz w:val="40"/>
        </w:rPr>
        <w:t>Prior Year 2008-09: YES (5/5 pts), same as above.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62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4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43" w:val="left" w:leader="none"/>
          <w:tab w:pos="1544" w:val="left" w:leader="none"/>
        </w:tabs>
        <w:spacing w:line="249" w:lineRule="auto" w:before="78" w:after="0"/>
        <w:ind w:left="1544" w:right="998" w:hanging="1440"/>
        <w:jc w:val="left"/>
        <w:rPr>
          <w:b/>
          <w:sz w:val="64"/>
        </w:rPr>
      </w:pPr>
      <w:r>
        <w:rPr>
          <w:b/>
          <w:sz w:val="64"/>
        </w:rPr>
        <w:t>Was The Aggregate Total Of</w:t>
      </w:r>
      <w:r>
        <w:rPr>
          <w:b/>
          <w:spacing w:val="-21"/>
          <w:sz w:val="64"/>
        </w:rPr>
        <w:t> </w:t>
      </w:r>
      <w:r>
        <w:rPr>
          <w:b/>
          <w:sz w:val="64"/>
        </w:rPr>
        <w:t>Cash And Investments In The General Fund More Than</w:t>
      </w:r>
      <w:r>
        <w:rPr>
          <w:b/>
          <w:spacing w:val="-13"/>
          <w:sz w:val="64"/>
        </w:rPr>
        <w:t> </w:t>
      </w:r>
      <w:r>
        <w:rPr>
          <w:b/>
          <w:sz w:val="64"/>
        </w:rPr>
        <w:t>$0?</w:t>
      </w:r>
    </w:p>
    <w:p>
      <w:pPr>
        <w:spacing w:line="240" w:lineRule="auto" w:before="8"/>
        <w:rPr>
          <w:b/>
          <w:sz w:val="93"/>
        </w:rPr>
      </w:pPr>
    </w:p>
    <w:p>
      <w:pPr>
        <w:spacing w:before="1"/>
        <w:ind w:left="1544" w:right="0" w:firstLine="0"/>
        <w:jc w:val="left"/>
        <w:rPr>
          <w:sz w:val="64"/>
        </w:rPr>
      </w:pPr>
      <w:r>
        <w:rPr>
          <w:sz w:val="64"/>
        </w:rPr>
        <w:t>2009-10: YES (5/5 pts), 20,175,130 &gt; 0</w:t>
      </w:r>
    </w:p>
    <w:p>
      <w:pPr>
        <w:spacing w:line="240" w:lineRule="auto" w:before="0"/>
        <w:rPr>
          <w:sz w:val="72"/>
        </w:rPr>
      </w:pPr>
    </w:p>
    <w:p>
      <w:pPr>
        <w:spacing w:before="504"/>
        <w:ind w:left="1544" w:right="0" w:firstLine="0"/>
        <w:jc w:val="left"/>
        <w:rPr>
          <w:sz w:val="40"/>
        </w:rPr>
      </w:pPr>
      <w:r>
        <w:rPr>
          <w:sz w:val="40"/>
        </w:rPr>
        <w:t>Prior Year 2008-09: Yes (5/5 pts), 27,915,537 &gt; 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760" w:right="800"/>
        </w:sectPr>
      </w:pPr>
    </w:p>
    <w:p>
      <w:pPr>
        <w:spacing w:line="240" w:lineRule="auto" w:before="10"/>
        <w:rPr>
          <w:sz w:val="9"/>
        </w:rPr>
      </w:pPr>
      <w:r>
        <w:rPr/>
        <w:drawing>
          <wp:anchor distT="0" distB="0" distL="0" distR="0" allowOverlap="1" layoutInCell="1" locked="0" behindDoc="0" simplePos="0" relativeHeight="164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"/>
        </w:numPr>
        <w:tabs>
          <w:tab w:pos="1504" w:val="left" w:leader="none"/>
        </w:tabs>
        <w:spacing w:line="249" w:lineRule="auto" w:before="78" w:after="0"/>
        <w:ind w:left="1504" w:right="322" w:hanging="1085"/>
        <w:jc w:val="left"/>
        <w:rPr>
          <w:b/>
          <w:sz w:val="64"/>
        </w:rPr>
      </w:pPr>
      <w:r>
        <w:rPr>
          <w:b/>
          <w:sz w:val="64"/>
        </w:rPr>
        <w:t>Were Investment Earnings In All Funds(Excluding Debt Service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Fund and Capital Projects Fund) More Than $20 Per</w:t>
      </w:r>
      <w:r>
        <w:rPr>
          <w:b/>
          <w:spacing w:val="-11"/>
          <w:sz w:val="64"/>
        </w:rPr>
        <w:t> </w:t>
      </w:r>
      <w:r>
        <w:rPr>
          <w:b/>
          <w:sz w:val="64"/>
        </w:rPr>
        <w:t>Student?</w:t>
      </w:r>
    </w:p>
    <w:p>
      <w:pPr>
        <w:spacing w:line="240" w:lineRule="auto" w:before="8"/>
        <w:rPr>
          <w:b/>
          <w:sz w:val="93"/>
        </w:rPr>
      </w:pPr>
    </w:p>
    <w:p>
      <w:pPr>
        <w:spacing w:before="1"/>
        <w:ind w:left="1504" w:right="0" w:firstLine="0"/>
        <w:jc w:val="left"/>
        <w:rPr>
          <w:sz w:val="64"/>
        </w:rPr>
      </w:pPr>
      <w:r>
        <w:rPr>
          <w:sz w:val="64"/>
        </w:rPr>
        <w:t>2009-10: NO (0/5 pts), 12.578 &lt; 20</w:t>
      </w:r>
    </w:p>
    <w:p>
      <w:pPr>
        <w:spacing w:line="240" w:lineRule="auto" w:before="0"/>
        <w:rPr>
          <w:sz w:val="70"/>
        </w:rPr>
      </w:pPr>
    </w:p>
    <w:p>
      <w:pPr>
        <w:spacing w:before="527"/>
        <w:ind w:left="1504" w:right="0" w:firstLine="0"/>
        <w:jc w:val="left"/>
        <w:rPr>
          <w:sz w:val="40"/>
        </w:rPr>
      </w:pPr>
      <w:r>
        <w:rPr>
          <w:sz w:val="40"/>
        </w:rPr>
        <w:t>Prior Year 2008-09: YES (5/5 pts), 49.7812 &gt; 20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371" w:footer="0" w:top="242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7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2"/>
        <w:rPr>
          <w:rFonts w:ascii="Times New Roman"/>
          <w:b w:val="0"/>
          <w:sz w:val="13"/>
        </w:rPr>
      </w:pPr>
    </w:p>
    <w:tbl>
      <w:tblPr>
        <w:tblW w:w="0" w:type="auto"/>
        <w:jc w:val="left"/>
        <w:tblInd w:w="112" w:type="dxa"/>
        <w:tblBorders>
          <w:top w:val="single" w:sz="4" w:space="0" w:color="DADCDD"/>
          <w:left w:val="single" w:sz="4" w:space="0" w:color="DADCDD"/>
          <w:bottom w:val="single" w:sz="4" w:space="0" w:color="DADCDD"/>
          <w:right w:val="single" w:sz="4" w:space="0" w:color="DADCDD"/>
          <w:insideH w:val="single" w:sz="4" w:space="0" w:color="DADCDD"/>
          <w:insideV w:val="single" w:sz="4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9"/>
        <w:gridCol w:w="1061"/>
        <w:gridCol w:w="1133"/>
        <w:gridCol w:w="1374"/>
        <w:gridCol w:w="1106"/>
        <w:gridCol w:w="1008"/>
        <w:gridCol w:w="1062"/>
        <w:gridCol w:w="1008"/>
        <w:gridCol w:w="1062"/>
        <w:gridCol w:w="937"/>
        <w:gridCol w:w="856"/>
      </w:tblGrid>
      <w:tr>
        <w:trPr>
          <w:trHeight w:val="232" w:hRule="exact"/>
        </w:trPr>
        <w:tc>
          <w:tcPr>
            <w:tcW w:w="4764" w:type="dxa"/>
            <w:gridSpan w:val="3"/>
          </w:tcPr>
          <w:p>
            <w:pPr>
              <w:pStyle w:val="TableParagraph"/>
              <w:spacing w:before="10"/>
              <w:ind w:left="26"/>
              <w:rPr>
                <w:b/>
                <w:sz w:val="18"/>
              </w:rPr>
            </w:pPr>
            <w:r>
              <w:rPr>
                <w:b/>
                <w:sz w:val="18"/>
              </w:rPr>
              <w:t>CARROLL INDEPENDENT SCHOOL DISTRICT</w:t>
            </w:r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32" w:hRule="exact"/>
        </w:trPr>
        <w:tc>
          <w:tcPr>
            <w:tcW w:w="3631" w:type="dxa"/>
            <w:gridSpan w:val="2"/>
          </w:tcPr>
          <w:p>
            <w:pPr>
              <w:pStyle w:val="TableParagraph"/>
              <w:spacing w:before="9"/>
              <w:ind w:left="26"/>
              <w:rPr>
                <w:b/>
                <w:sz w:val="18"/>
              </w:rPr>
            </w:pPr>
            <w:r>
              <w:rPr>
                <w:b/>
                <w:sz w:val="18"/>
              </w:rPr>
              <w:t>2011 SCHOOL FIRST REPORT</w:t>
            </w:r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68" w:hRule="exact"/>
        </w:trPr>
        <w:tc>
          <w:tcPr>
            <w:tcW w:w="7243" w:type="dxa"/>
            <w:gridSpan w:val="5"/>
          </w:tcPr>
          <w:p>
            <w:pPr>
              <w:pStyle w:val="TableParagraph"/>
              <w:spacing w:before="18"/>
              <w:ind w:left="348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Reimbursements Received by the Superintendent and Board  Members</w:t>
            </w:r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77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For the Twelve-Month Period</w:t>
            </w:r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Ended August 31, 2010</w:t>
            </w:r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David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Craig</w:t>
            </w:r>
          </w:p>
        </w:tc>
        <w:tc>
          <w:tcPr>
            <w:tcW w:w="1374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Bernie</w:t>
            </w:r>
          </w:p>
        </w:tc>
        <w:tc>
          <w:tcPr>
            <w:tcW w:w="1106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Sue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Read</w:t>
            </w:r>
          </w:p>
        </w:tc>
        <w:tc>
          <w:tcPr>
            <w:tcW w:w="1062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Erin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John</w:t>
            </w:r>
          </w:p>
        </w:tc>
        <w:tc>
          <w:tcPr>
            <w:tcW w:w="1062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Sherri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Faltys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Rothmeier</w:t>
            </w:r>
          </w:p>
        </w:tc>
        <w:tc>
          <w:tcPr>
            <w:tcW w:w="1374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Ausdenmoore</w:t>
            </w:r>
          </w:p>
        </w:tc>
        <w:tc>
          <w:tcPr>
            <w:tcW w:w="1106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Armstrong</w:t>
            </w:r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Ballew</w:t>
            </w:r>
          </w:p>
        </w:tc>
        <w:tc>
          <w:tcPr>
            <w:tcW w:w="1062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Shoupp</w:t>
            </w:r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Thane</w:t>
            </w:r>
          </w:p>
        </w:tc>
        <w:tc>
          <w:tcPr>
            <w:tcW w:w="1062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Williams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  <w:vMerge w:val="restart"/>
          </w:tcPr>
          <w:p>
            <w:pPr>
              <w:pStyle w:val="TableParagraph"/>
              <w:spacing w:before="2"/>
              <w:ind w:left="0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"/>
              <w:ind w:left="26"/>
              <w:rPr>
                <w:sz w:val="18"/>
              </w:rPr>
            </w:pPr>
            <w:r>
              <w:rPr>
                <w:sz w:val="18"/>
                <w:u w:val="single"/>
              </w:rPr>
              <w:t>Description of Reimbursements</w:t>
            </w:r>
          </w:p>
        </w:tc>
        <w:tc>
          <w:tcPr>
            <w:tcW w:w="1061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Supt.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374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106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62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1062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Board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  <w:vMerge/>
          </w:tcPr>
          <w:p>
            <w:pPr/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1</w:t>
            </w:r>
          </w:p>
        </w:tc>
        <w:tc>
          <w:tcPr>
            <w:tcW w:w="1374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2</w:t>
            </w:r>
          </w:p>
        </w:tc>
        <w:tc>
          <w:tcPr>
            <w:tcW w:w="1106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3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4</w:t>
            </w:r>
          </w:p>
        </w:tc>
        <w:tc>
          <w:tcPr>
            <w:tcW w:w="1062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5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6</w:t>
            </w:r>
          </w:p>
        </w:tc>
        <w:tc>
          <w:tcPr>
            <w:tcW w:w="1062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Member 7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Meals</w:t>
            </w:r>
          </w:p>
        </w:tc>
        <w:tc>
          <w:tcPr>
            <w:tcW w:w="1061" w:type="dxa"/>
          </w:tcPr>
          <w:p>
            <w:pPr>
              <w:pStyle w:val="TableParagraph"/>
              <w:spacing w:before="9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$1,276.61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$85.86</w:t>
            </w:r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$29.60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Lodging</w:t>
            </w:r>
          </w:p>
        </w:tc>
        <w:tc>
          <w:tcPr>
            <w:tcW w:w="1061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$664.75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$2,122.90</w:t>
            </w:r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$88.09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z w:val="18"/>
              </w:rPr>
              <w:t>Transportation</w:t>
            </w:r>
          </w:p>
        </w:tc>
        <w:tc>
          <w:tcPr>
            <w:tcW w:w="1061" w:type="dxa"/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$339.20</w:t>
            </w:r>
          </w:p>
        </w:tc>
        <w:tc>
          <w:tcPr>
            <w:tcW w:w="1133" w:type="dxa"/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$405.30</w:t>
            </w:r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$100.00</w:t>
            </w:r>
          </w:p>
        </w:tc>
        <w:tc>
          <w:tcPr>
            <w:tcW w:w="1008" w:type="dxa"/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$435.70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Motor Fuel</w:t>
            </w:r>
          </w:p>
        </w:tc>
        <w:tc>
          <w:tcPr>
            <w:tcW w:w="1061" w:type="dxa"/>
          </w:tcPr>
          <w:p>
            <w:pPr>
              <w:pStyle w:val="TableParagraph"/>
              <w:spacing w:before="9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$1,357.13</w:t>
            </w:r>
          </w:p>
        </w:tc>
        <w:tc>
          <w:tcPr>
            <w:tcW w:w="1133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$373.25</w:t>
            </w:r>
          </w:p>
        </w:tc>
        <w:tc>
          <w:tcPr>
            <w:tcW w:w="1374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$131.50</w:t>
            </w:r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$291.28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7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Other</w:t>
            </w:r>
          </w:p>
        </w:tc>
        <w:tc>
          <w:tcPr>
            <w:tcW w:w="1061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$3,257.47</w:t>
            </w:r>
          </w:p>
        </w:tc>
        <w:tc>
          <w:tcPr>
            <w:tcW w:w="1133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$1,624.11</w:t>
            </w:r>
          </w:p>
        </w:tc>
        <w:tc>
          <w:tcPr>
            <w:tcW w:w="1374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106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8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62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8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62" w:type="dxa"/>
            <w:tcBorders>
              <w:bottom w:val="single" w:sz="7" w:space="0" w:color="000000"/>
            </w:tcBorders>
          </w:tcPr>
          <w:p>
            <w:pPr>
              <w:pStyle w:val="TableParagraph"/>
              <w:spacing w:before="9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32" w:hRule="exact"/>
        </w:trPr>
        <w:tc>
          <w:tcPr>
            <w:tcW w:w="2569" w:type="dxa"/>
          </w:tcPr>
          <w:p>
            <w:pPr>
              <w:pStyle w:val="TableParagraph"/>
              <w:ind w:left="26"/>
              <w:rPr>
                <w:sz w:val="18"/>
              </w:rPr>
            </w:pPr>
            <w:r>
              <w:rPr>
                <w:sz w:val="18"/>
              </w:rPr>
              <w:t>Total</w:t>
            </w:r>
          </w:p>
        </w:tc>
        <w:tc>
          <w:tcPr>
            <w:tcW w:w="106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$6,895.16</w:t>
            </w:r>
          </w:p>
        </w:tc>
        <w:tc>
          <w:tcPr>
            <w:tcW w:w="113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4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$4,611.42</w:t>
            </w:r>
          </w:p>
        </w:tc>
        <w:tc>
          <w:tcPr>
            <w:tcW w:w="137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$474.36</w:t>
            </w:r>
          </w:p>
        </w:tc>
        <w:tc>
          <w:tcPr>
            <w:tcW w:w="1106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$442.86</w:t>
            </w:r>
          </w:p>
        </w:tc>
        <w:tc>
          <w:tcPr>
            <w:tcW w:w="100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$808.16</w:t>
            </w:r>
          </w:p>
        </w:tc>
        <w:tc>
          <w:tcPr>
            <w:tcW w:w="10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1008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$722.23</w:t>
            </w:r>
          </w:p>
        </w:tc>
        <w:tc>
          <w:tcPr>
            <w:tcW w:w="1062" w:type="dxa"/>
            <w:tcBorders>
              <w:top w:val="single" w:sz="7" w:space="0" w:color="000000"/>
              <w:bottom w:val="single" w:sz="7" w:space="0" w:color="000000"/>
            </w:tcBorders>
          </w:tcPr>
          <w:p>
            <w:pPr>
              <w:pStyle w:val="TableParagraph"/>
              <w:spacing w:before="10"/>
              <w:ind w:left="0" w:right="23"/>
              <w:jc w:val="right"/>
              <w:rPr>
                <w:sz w:val="18"/>
              </w:rPr>
            </w:pPr>
            <w:r>
              <w:rPr>
                <w:sz w:val="18"/>
              </w:rPr>
              <w:t>$342.86</w:t>
            </w:r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81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133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374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106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008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008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1062" w:type="dxa"/>
            <w:tcBorders>
              <w:top w:val="single" w:sz="7" w:space="0" w:color="000000"/>
            </w:tcBorders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7243" w:type="dxa"/>
            <w:gridSpan w:val="5"/>
          </w:tcPr>
          <w:p>
            <w:pPr>
              <w:pStyle w:val="TableParagraph"/>
              <w:spacing w:before="10"/>
              <w:ind w:left="26"/>
              <w:rPr>
                <w:sz w:val="18"/>
              </w:rPr>
            </w:pPr>
            <w:r>
              <w:rPr>
                <w:spacing w:val="-3"/>
                <w:sz w:val="18"/>
              </w:rPr>
              <w:t>All “reimbursements” </w:t>
            </w:r>
            <w:r>
              <w:rPr>
                <w:spacing w:val="-4"/>
                <w:sz w:val="18"/>
              </w:rPr>
              <w:t>expenses, </w:t>
            </w:r>
            <w:r>
              <w:rPr>
                <w:sz w:val="18"/>
              </w:rPr>
              <w:t>regardless of </w:t>
            </w:r>
            <w:r>
              <w:rPr>
                <w:spacing w:val="-3"/>
                <w:sz w:val="18"/>
              </w:rPr>
              <w:t>the </w:t>
            </w:r>
            <w:r>
              <w:rPr>
                <w:spacing w:val="-6"/>
                <w:sz w:val="18"/>
              </w:rPr>
              <w:t>manner </w:t>
            </w:r>
            <w:r>
              <w:rPr>
                <w:sz w:val="18"/>
              </w:rPr>
              <w:t>of </w:t>
            </w:r>
            <w:r>
              <w:rPr>
                <w:spacing w:val="-3"/>
                <w:sz w:val="18"/>
              </w:rPr>
              <w:t>payment, </w:t>
            </w:r>
            <w:r>
              <w:rPr>
                <w:spacing w:val="-6"/>
                <w:sz w:val="18"/>
              </w:rPr>
              <w:t>including </w:t>
            </w:r>
            <w:r>
              <w:rPr>
                <w:sz w:val="18"/>
              </w:rPr>
              <w:t>direct pay,</w:t>
            </w:r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8251" w:type="dxa"/>
            <w:gridSpan w:val="6"/>
          </w:tcPr>
          <w:p>
            <w:pPr>
              <w:pStyle w:val="TableParagraph"/>
              <w:spacing w:before="9"/>
              <w:ind w:left="133"/>
              <w:rPr>
                <w:sz w:val="18"/>
              </w:rPr>
            </w:pPr>
            <w:r>
              <w:rPr>
                <w:sz w:val="18"/>
              </w:rPr>
              <w:t>credit card, cash, and purchase order are to be reported.  Items to be reported per category include: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12319" w:type="dxa"/>
            <w:gridSpan w:val="10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Meals – Meals consumed out of town, and in-district meals at area restaurants (outside of board meetings, excludes catered board meeting meals).</w:t>
            </w:r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Lodging - Hotel charges.</w:t>
            </w:r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10321" w:type="dxa"/>
            <w:gridSpan w:val="8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Transportation - Airfare, car rental (can include fuel on rental, taxis, mileage reimbursements, leased cars, parking and tolls).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Motor fuel – Gasoline.</w:t>
            </w:r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7243" w:type="dxa"/>
            <w:gridSpan w:val="5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Other: - Registration fees, telephone/cell phone, internet service, fax machine, and other</w:t>
            </w:r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8251" w:type="dxa"/>
            <w:gridSpan w:val="6"/>
          </w:tcPr>
          <w:p>
            <w:pPr>
              <w:pStyle w:val="TableParagraph"/>
              <w:spacing w:before="9"/>
              <w:ind w:left="26"/>
              <w:rPr>
                <w:sz w:val="18"/>
              </w:rPr>
            </w:pPr>
            <w:r>
              <w:rPr>
                <w:sz w:val="18"/>
              </w:rPr>
              <w:t>reimbursements (or on-behalf of) to the superintendent and board member not defined  above.</w:t>
            </w:r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  <w:tr>
        <w:trPr>
          <w:trHeight w:val="223" w:hRule="exact"/>
        </w:trPr>
        <w:tc>
          <w:tcPr>
            <w:tcW w:w="2569" w:type="dxa"/>
          </w:tcPr>
          <w:p>
            <w:pPr/>
          </w:p>
        </w:tc>
        <w:tc>
          <w:tcPr>
            <w:tcW w:w="1061" w:type="dxa"/>
          </w:tcPr>
          <w:p>
            <w:pPr/>
          </w:p>
        </w:tc>
        <w:tc>
          <w:tcPr>
            <w:tcW w:w="1133" w:type="dxa"/>
          </w:tcPr>
          <w:p>
            <w:pPr/>
          </w:p>
        </w:tc>
        <w:tc>
          <w:tcPr>
            <w:tcW w:w="1374" w:type="dxa"/>
          </w:tcPr>
          <w:p>
            <w:pPr/>
          </w:p>
        </w:tc>
        <w:tc>
          <w:tcPr>
            <w:tcW w:w="1106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1008" w:type="dxa"/>
          </w:tcPr>
          <w:p>
            <w:pPr/>
          </w:p>
        </w:tc>
        <w:tc>
          <w:tcPr>
            <w:tcW w:w="1062" w:type="dxa"/>
          </w:tcPr>
          <w:p>
            <w:pPr/>
          </w:p>
        </w:tc>
        <w:tc>
          <w:tcPr>
            <w:tcW w:w="937" w:type="dxa"/>
          </w:tcPr>
          <w:p>
            <w:pPr/>
          </w:p>
        </w:tc>
        <w:tc>
          <w:tcPr>
            <w:tcW w:w="856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00" w:right="38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69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6"/>
        <w:rPr>
          <w:rFonts w:ascii="Times New Roman"/>
          <w:b w:val="0"/>
          <w:sz w:val="17"/>
        </w:rPr>
      </w:pPr>
    </w:p>
    <w:tbl>
      <w:tblPr>
        <w:tblW w:w="0" w:type="auto"/>
        <w:jc w:val="left"/>
        <w:tblInd w:w="100" w:type="dxa"/>
        <w:tblBorders>
          <w:top w:val="single" w:sz="4" w:space="0" w:color="DADCDD"/>
          <w:left w:val="single" w:sz="4" w:space="0" w:color="DADCDD"/>
          <w:bottom w:val="single" w:sz="4" w:space="0" w:color="DADCDD"/>
          <w:right w:val="single" w:sz="4" w:space="0" w:color="DADCDD"/>
          <w:insideH w:val="single" w:sz="4" w:space="0" w:color="DADCDD"/>
          <w:insideV w:val="single" w:sz="4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  <w:gridCol w:w="942"/>
      </w:tblGrid>
      <w:tr>
        <w:trPr>
          <w:trHeight w:val="255" w:hRule="exact"/>
        </w:trPr>
        <w:tc>
          <w:tcPr>
            <w:tcW w:w="4711" w:type="dxa"/>
            <w:gridSpan w:val="5"/>
          </w:tcPr>
          <w:p>
            <w:pPr>
              <w:pStyle w:val="TableParagraph"/>
              <w:spacing w:before="18"/>
              <w:ind w:left="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CARROLL INDEPENDENT SCHOOL DISTRICT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55" w:hRule="exact"/>
        </w:trPr>
        <w:tc>
          <w:tcPr>
            <w:tcW w:w="3769" w:type="dxa"/>
            <w:gridSpan w:val="4"/>
          </w:tcPr>
          <w:p>
            <w:pPr>
              <w:pStyle w:val="TableParagraph"/>
              <w:spacing w:before="18"/>
              <w:ind w:left="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2011 SCHOOL FIRST REPORT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6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94" w:hRule="exact"/>
        </w:trPr>
        <w:tc>
          <w:tcPr>
            <w:tcW w:w="13189" w:type="dxa"/>
            <w:gridSpan w:val="14"/>
          </w:tcPr>
          <w:p>
            <w:pPr>
              <w:pStyle w:val="TableParagraph"/>
              <w:spacing w:before="20"/>
              <w:ind w:left="382"/>
              <w:rPr>
                <w:rFonts w:ascii="Times New Roman"/>
                <w:b/>
                <w:sz w:val="23"/>
              </w:rPr>
            </w:pPr>
            <w:r>
              <w:rPr>
                <w:rFonts w:ascii="Times New Roman"/>
                <w:b/>
                <w:w w:val="105"/>
                <w:sz w:val="23"/>
              </w:rPr>
              <w:t>Outside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Compensation</w:t>
            </w:r>
            <w:r>
              <w:rPr>
                <w:rFonts w:ascii="Times New Roman"/>
                <w:b/>
                <w:spacing w:val="-32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and/or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Fees</w:t>
            </w:r>
            <w:r>
              <w:rPr>
                <w:rFonts w:ascii="Times New Roman"/>
                <w:b/>
                <w:spacing w:val="-32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Received</w:t>
            </w:r>
            <w:r>
              <w:rPr>
                <w:rFonts w:ascii="Times New Roman"/>
                <w:b/>
                <w:spacing w:val="-32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by</w:t>
            </w:r>
            <w:r>
              <w:rPr>
                <w:rFonts w:ascii="Times New Roman"/>
                <w:b/>
                <w:spacing w:val="-30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the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Superintendent</w:t>
            </w:r>
            <w:r>
              <w:rPr>
                <w:rFonts w:ascii="Times New Roman"/>
                <w:b/>
                <w:spacing w:val="-30"/>
                <w:w w:val="105"/>
                <w:sz w:val="23"/>
              </w:rPr>
              <w:t> </w:t>
            </w:r>
            <w:r>
              <w:rPr>
                <w:rFonts w:ascii="Times New Roman"/>
                <w:b/>
                <w:spacing w:val="-4"/>
                <w:w w:val="105"/>
                <w:sz w:val="23"/>
              </w:rPr>
              <w:t>for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Professional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Consulting</w:t>
            </w:r>
            <w:r>
              <w:rPr>
                <w:rFonts w:ascii="Times New Roman"/>
                <w:b/>
                <w:spacing w:val="-30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and/or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Other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Personal</w:t>
            </w:r>
            <w:r>
              <w:rPr>
                <w:rFonts w:ascii="Times New Roman"/>
                <w:b/>
                <w:spacing w:val="-29"/>
                <w:w w:val="105"/>
                <w:sz w:val="23"/>
              </w:rPr>
              <w:t> </w:t>
            </w:r>
            <w:r>
              <w:rPr>
                <w:rFonts w:ascii="Times New Roman"/>
                <w:b/>
                <w:w w:val="105"/>
                <w:sz w:val="23"/>
              </w:rPr>
              <w:t>Services</w:t>
            </w:r>
          </w:p>
        </w:tc>
      </w:tr>
      <w:tr>
        <w:trPr>
          <w:trHeight w:val="304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2826" w:type="dxa"/>
            <w:gridSpan w:val="3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For the Twelve-Month Period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2826" w:type="dxa"/>
            <w:gridSpan w:val="3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Ended August 31, 2010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2826" w:type="dxa"/>
            <w:gridSpan w:val="3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  <w:u w:val="single"/>
              </w:rPr>
              <w:t>Name(s) of Entity(ies)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Amount Received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942" w:type="dxa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None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>
              <w:pStyle w:val="TableParagraph"/>
              <w:spacing w:before="18"/>
              <w:ind w:left="0" w:right="26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  <w:tcBorders>
              <w:bottom w:val="single" w:sz="8" w:space="0" w:color="000000"/>
            </w:tcBorders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56" w:hRule="exact"/>
        </w:trPr>
        <w:tc>
          <w:tcPr>
            <w:tcW w:w="942" w:type="dxa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Total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3"/>
              <w:ind w:left="0" w:right="26"/>
              <w:jc w:val="right"/>
              <w:rPr>
                <w:sz w:val="19"/>
              </w:rPr>
            </w:pPr>
            <w:r>
              <w:rPr>
                <w:sz w:val="19"/>
              </w:rPr>
              <w:t>$0.00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55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11305" w:type="dxa"/>
            <w:gridSpan w:val="12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Compensation does not include business revenues generated from a family business (farming, ranching, etc.) that has no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3769" w:type="dxa"/>
            <w:gridSpan w:val="4"/>
          </w:tcPr>
          <w:p>
            <w:pPr>
              <w:pStyle w:val="TableParagraph"/>
              <w:spacing w:before="18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relation to school district business.</w:t>
            </w:r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  <w:tr>
        <w:trPr>
          <w:trHeight w:val="245" w:hRule="exact"/>
        </w:trPr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  <w:tc>
          <w:tcPr>
            <w:tcW w:w="942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500" w:right="48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2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5"/>
        <w:rPr>
          <w:rFonts w:ascii="Times New Roman"/>
          <w:b w:val="0"/>
          <w:sz w:val="16"/>
        </w:rPr>
      </w:pPr>
    </w:p>
    <w:tbl>
      <w:tblPr>
        <w:tblW w:w="0" w:type="auto"/>
        <w:jc w:val="left"/>
        <w:tblInd w:w="100" w:type="dxa"/>
        <w:tblBorders>
          <w:top w:val="single" w:sz="4" w:space="0" w:color="DADCDD"/>
          <w:left w:val="single" w:sz="4" w:space="0" w:color="DADCDD"/>
          <w:bottom w:val="single" w:sz="4" w:space="0" w:color="DADCDD"/>
          <w:right w:val="single" w:sz="4" w:space="0" w:color="DADCDD"/>
          <w:insideH w:val="single" w:sz="4" w:space="0" w:color="DADCDD"/>
          <w:insideV w:val="single" w:sz="4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1"/>
        <w:gridCol w:w="1021"/>
        <w:gridCol w:w="1170"/>
        <w:gridCol w:w="1542"/>
        <w:gridCol w:w="1170"/>
        <w:gridCol w:w="1266"/>
        <w:gridCol w:w="1233"/>
        <w:gridCol w:w="1021"/>
        <w:gridCol w:w="1021"/>
        <w:gridCol w:w="1021"/>
        <w:gridCol w:w="1021"/>
      </w:tblGrid>
      <w:tr>
        <w:trPr>
          <w:trHeight w:val="276" w:hRule="exact"/>
        </w:trPr>
        <w:tc>
          <w:tcPr>
            <w:tcW w:w="5425" w:type="dxa"/>
            <w:gridSpan w:val="4"/>
          </w:tcPr>
          <w:p>
            <w:pPr>
              <w:pStyle w:val="TableParagraph"/>
              <w:spacing w:before="15"/>
              <w:rPr>
                <w:b/>
                <w:sz w:val="21"/>
              </w:rPr>
            </w:pPr>
            <w:r>
              <w:rPr>
                <w:b/>
                <w:sz w:val="21"/>
              </w:rPr>
              <w:t>CARROLL  INDEPENDENT  SCHOOL DISTRICT</w:t>
            </w:r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3882" w:type="dxa"/>
            <w:gridSpan w:val="3"/>
          </w:tcPr>
          <w:p>
            <w:pPr>
              <w:pStyle w:val="TableParagraph"/>
              <w:spacing w:before="16"/>
              <w:rPr>
                <w:b/>
                <w:sz w:val="21"/>
              </w:rPr>
            </w:pPr>
            <w:r>
              <w:rPr>
                <w:b/>
                <w:sz w:val="21"/>
              </w:rPr>
              <w:t>2011 SCHOOL </w:t>
            </w:r>
            <w:r>
              <w:rPr>
                <w:b/>
                <w:spacing w:val="-5"/>
                <w:sz w:val="21"/>
              </w:rPr>
              <w:t>FIRST</w:t>
            </w:r>
            <w:r>
              <w:rPr>
                <w:b/>
                <w:spacing w:val="47"/>
                <w:sz w:val="21"/>
              </w:rPr>
              <w:t> </w:t>
            </w:r>
            <w:r>
              <w:rPr>
                <w:b/>
                <w:spacing w:val="-3"/>
                <w:sz w:val="21"/>
              </w:rPr>
              <w:t>REPORT</w:t>
            </w:r>
          </w:p>
        </w:tc>
        <w:tc>
          <w:tcPr>
            <w:tcW w:w="1542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169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169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11136" w:type="dxa"/>
            <w:gridSpan w:val="9"/>
          </w:tcPr>
          <w:p>
            <w:pPr>
              <w:pStyle w:val="TableParagraph"/>
              <w:spacing w:before="22"/>
              <w:ind w:left="415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Gifts Received by Executive Officers and Board Members (and First Degree Relatives,   if any)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10115" w:type="dxa"/>
            <w:gridSpan w:val="8"/>
            <w:tcBorders>
              <w:bottom w:val="single" w:sz="4" w:space="0" w:color="DADCDD"/>
            </w:tcBorders>
          </w:tcPr>
          <w:p>
            <w:pPr>
              <w:pStyle w:val="TableParagraph"/>
              <w:spacing w:before="21"/>
              <w:ind w:left="415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(gifts that had an economic value of $250 or more in the aggregate in the fiscal   year)</w:t>
            </w:r>
          </w:p>
        </w:tc>
        <w:tc>
          <w:tcPr>
            <w:tcW w:w="1021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bottom w:val="single" w:sz="4" w:space="0" w:color="DADCDD"/>
              <w:right w:val="single" w:sz="4" w:space="0" w:color="DADCDD"/>
            </w:tcBorders>
          </w:tcPr>
          <w:p>
            <w:pPr/>
          </w:p>
        </w:tc>
      </w:tr>
      <w:tr>
        <w:trPr>
          <w:trHeight w:val="319" w:hRule="exact"/>
        </w:trPr>
        <w:tc>
          <w:tcPr>
            <w:tcW w:w="1691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170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542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170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266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233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3882" w:type="dxa"/>
            <w:gridSpan w:val="3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For the Twelve-Month Period</w:t>
            </w:r>
          </w:p>
        </w:tc>
        <w:tc>
          <w:tcPr>
            <w:tcW w:w="1542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2712" w:type="dxa"/>
            <w:gridSpan w:val="2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pacing w:val="-5"/>
                <w:sz w:val="21"/>
              </w:rPr>
              <w:t>Ended </w:t>
            </w:r>
            <w:r>
              <w:rPr>
                <w:spacing w:val="-6"/>
                <w:sz w:val="21"/>
              </w:rPr>
              <w:t>August </w:t>
            </w:r>
            <w:r>
              <w:rPr>
                <w:sz w:val="21"/>
              </w:rPr>
              <w:t>31,</w:t>
            </w:r>
            <w:r>
              <w:rPr>
                <w:spacing w:val="57"/>
                <w:sz w:val="21"/>
              </w:rPr>
              <w:t> </w:t>
            </w:r>
            <w:r>
              <w:rPr>
                <w:sz w:val="21"/>
              </w:rPr>
              <w:t>2010</w:t>
            </w:r>
          </w:p>
        </w:tc>
        <w:tc>
          <w:tcPr>
            <w:tcW w:w="1170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70" w:type="dxa"/>
          </w:tcPr>
          <w:p>
            <w:pPr/>
          </w:p>
        </w:tc>
        <w:tc>
          <w:tcPr>
            <w:tcW w:w="1266" w:type="dxa"/>
          </w:tcPr>
          <w:p>
            <w:pPr/>
          </w:p>
        </w:tc>
        <w:tc>
          <w:tcPr>
            <w:tcW w:w="1233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1691" w:type="dxa"/>
          </w:tcPr>
          <w:p>
            <w:pPr/>
          </w:p>
        </w:tc>
        <w:tc>
          <w:tcPr>
            <w:tcW w:w="1021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David</w:t>
            </w:r>
          </w:p>
        </w:tc>
        <w:tc>
          <w:tcPr>
            <w:tcW w:w="1170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Craig</w:t>
            </w:r>
          </w:p>
        </w:tc>
        <w:tc>
          <w:tcPr>
            <w:tcW w:w="1542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Bernie</w:t>
            </w:r>
          </w:p>
        </w:tc>
        <w:tc>
          <w:tcPr>
            <w:tcW w:w="1170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Sue</w:t>
            </w:r>
          </w:p>
        </w:tc>
        <w:tc>
          <w:tcPr>
            <w:tcW w:w="1266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Read</w:t>
            </w:r>
          </w:p>
        </w:tc>
        <w:tc>
          <w:tcPr>
            <w:tcW w:w="1233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Erin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"/>
              <w:ind w:left="32"/>
              <w:rPr>
                <w:sz w:val="21"/>
              </w:rPr>
            </w:pPr>
            <w:r>
              <w:rPr>
                <w:sz w:val="21"/>
              </w:rPr>
              <w:t>John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Sherri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1691" w:type="dxa"/>
          </w:tcPr>
          <w:p>
            <w:pPr/>
          </w:p>
        </w:tc>
        <w:tc>
          <w:tcPr>
            <w:tcW w:w="1021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Faltys</w:t>
            </w:r>
          </w:p>
        </w:tc>
        <w:tc>
          <w:tcPr>
            <w:tcW w:w="1170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Rothmeier</w:t>
            </w:r>
          </w:p>
        </w:tc>
        <w:tc>
          <w:tcPr>
            <w:tcW w:w="1542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Ausdenmoore</w:t>
            </w:r>
          </w:p>
        </w:tc>
        <w:tc>
          <w:tcPr>
            <w:tcW w:w="1170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Armstrong</w:t>
            </w:r>
          </w:p>
        </w:tc>
        <w:tc>
          <w:tcPr>
            <w:tcW w:w="1266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Ballew</w:t>
            </w:r>
          </w:p>
        </w:tc>
        <w:tc>
          <w:tcPr>
            <w:tcW w:w="1233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Shoupp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"/>
              <w:ind w:left="32"/>
              <w:rPr>
                <w:sz w:val="21"/>
              </w:rPr>
            </w:pPr>
            <w:r>
              <w:rPr>
                <w:sz w:val="21"/>
              </w:rPr>
              <w:t>Thane</w:t>
            </w:r>
          </w:p>
        </w:tc>
        <w:tc>
          <w:tcPr>
            <w:tcW w:w="1021" w:type="dxa"/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Williams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1691" w:type="dxa"/>
            <w:vMerge w:val="restart"/>
          </w:tcPr>
          <w:p>
            <w:pPr/>
          </w:p>
        </w:tc>
        <w:tc>
          <w:tcPr>
            <w:tcW w:w="1021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Supt.</w:t>
            </w:r>
          </w:p>
        </w:tc>
        <w:tc>
          <w:tcPr>
            <w:tcW w:w="1170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542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70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66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33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"/>
              <w:ind w:left="32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21" w:type="dxa"/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71" w:hRule="exact"/>
        </w:trPr>
        <w:tc>
          <w:tcPr>
            <w:tcW w:w="1691" w:type="dxa"/>
            <w:vMerge/>
          </w:tcPr>
          <w:p>
            <w:pPr/>
          </w:p>
        </w:tc>
        <w:tc>
          <w:tcPr>
            <w:tcW w:w="1021" w:type="dxa"/>
            <w:tcBorders>
              <w:bottom w:val="single" w:sz="8" w:space="0" w:color="000000"/>
            </w:tcBorders>
          </w:tcPr>
          <w:p>
            <w:pPr/>
          </w:p>
        </w:tc>
        <w:tc>
          <w:tcPr>
            <w:tcW w:w="117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1</w:t>
            </w:r>
          </w:p>
        </w:tc>
        <w:tc>
          <w:tcPr>
            <w:tcW w:w="154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2</w:t>
            </w:r>
          </w:p>
        </w:tc>
        <w:tc>
          <w:tcPr>
            <w:tcW w:w="1170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3</w:t>
            </w:r>
          </w:p>
        </w:tc>
        <w:tc>
          <w:tcPr>
            <w:tcW w:w="1266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4</w:t>
            </w:r>
          </w:p>
        </w:tc>
        <w:tc>
          <w:tcPr>
            <w:tcW w:w="1233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5</w:t>
            </w:r>
          </w:p>
        </w:tc>
        <w:tc>
          <w:tcPr>
            <w:tcW w:w="102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0" w:right="18"/>
              <w:jc w:val="right"/>
              <w:rPr>
                <w:sz w:val="21"/>
              </w:rPr>
            </w:pPr>
            <w:r>
              <w:rPr>
                <w:sz w:val="21"/>
              </w:rPr>
              <w:t>Member 6</w:t>
            </w:r>
          </w:p>
        </w:tc>
        <w:tc>
          <w:tcPr>
            <w:tcW w:w="102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sz w:val="21"/>
              </w:rPr>
              <w:t>Member 7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1691" w:type="dxa"/>
          </w:tcPr>
          <w:p>
            <w:pPr>
              <w:pStyle w:val="TableParagraph"/>
              <w:spacing w:before="21"/>
              <w:rPr>
                <w:sz w:val="21"/>
              </w:rPr>
            </w:pPr>
            <w:r>
              <w:rPr>
                <w:sz w:val="21"/>
              </w:rPr>
              <w:t>Total</w:t>
            </w:r>
          </w:p>
        </w:tc>
        <w:tc>
          <w:tcPr>
            <w:tcW w:w="102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446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59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54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967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7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59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6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691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3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659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2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0" w:right="30"/>
              <w:jc w:val="right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2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/>
              <w:ind w:left="446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82" w:hRule="exact"/>
        </w:trPr>
        <w:tc>
          <w:tcPr>
            <w:tcW w:w="1691" w:type="dxa"/>
          </w:tcPr>
          <w:p>
            <w:pPr/>
          </w:p>
        </w:tc>
        <w:tc>
          <w:tcPr>
            <w:tcW w:w="1021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542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70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266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233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021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021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021" w:type="dxa"/>
          </w:tcPr>
          <w:p>
            <w:pPr/>
          </w:p>
        </w:tc>
        <w:tc>
          <w:tcPr>
            <w:tcW w:w="1021" w:type="dxa"/>
            <w:tcBorders>
              <w:right w:val="single" w:sz="4" w:space="0" w:color="DADCDD"/>
            </w:tcBorders>
          </w:tcPr>
          <w:p>
            <w:pPr/>
          </w:p>
        </w:tc>
      </w:tr>
      <w:tr>
        <w:trPr>
          <w:trHeight w:val="277" w:hRule="exact"/>
        </w:trPr>
        <w:tc>
          <w:tcPr>
            <w:tcW w:w="9094" w:type="dxa"/>
            <w:gridSpan w:val="7"/>
            <w:tcBorders>
              <w:bottom w:val="single" w:sz="4" w:space="0" w:color="DADCDD"/>
            </w:tcBorders>
          </w:tcPr>
          <w:p>
            <w:pPr>
              <w:pStyle w:val="TableParagraph"/>
              <w:spacing w:before="16"/>
              <w:rPr>
                <w:sz w:val="21"/>
              </w:rPr>
            </w:pPr>
            <w:r>
              <w:rPr>
                <w:b/>
                <w:sz w:val="21"/>
              </w:rPr>
              <w:t>Note – </w:t>
            </w:r>
            <w:r>
              <w:rPr>
                <w:sz w:val="21"/>
              </w:rPr>
              <w:t>An executive officer is defined as the superintendent, unless the board of trustees or the</w:t>
            </w:r>
          </w:p>
        </w:tc>
        <w:tc>
          <w:tcPr>
            <w:tcW w:w="1021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bottom w:val="single" w:sz="4" w:space="0" w:color="DADCDD"/>
              <w:right w:val="single" w:sz="4" w:space="0" w:color="DADCDD"/>
            </w:tcBorders>
          </w:tcPr>
          <w:p>
            <w:pPr/>
          </w:p>
        </w:tc>
      </w:tr>
      <w:tr>
        <w:trPr>
          <w:trHeight w:val="266" w:hRule="exact"/>
        </w:trPr>
        <w:tc>
          <w:tcPr>
            <w:tcW w:w="9094" w:type="dxa"/>
            <w:gridSpan w:val="7"/>
            <w:tcBorders>
              <w:top w:val="single" w:sz="4" w:space="0" w:color="DADCDD"/>
              <w:bottom w:val="single" w:sz="4" w:space="0" w:color="DADCDD"/>
            </w:tcBorders>
          </w:tcPr>
          <w:p>
            <w:pPr>
              <w:pStyle w:val="TableParagraph"/>
              <w:spacing w:before="15"/>
              <w:rPr>
                <w:sz w:val="21"/>
              </w:rPr>
            </w:pPr>
            <w:r>
              <w:rPr>
                <w:sz w:val="21"/>
              </w:rPr>
              <w:t>district administration names additional staff under this classification for local   officials.</w:t>
            </w:r>
          </w:p>
        </w:tc>
        <w:tc>
          <w:tcPr>
            <w:tcW w:w="1021" w:type="dxa"/>
            <w:tcBorders>
              <w:top w:val="single" w:sz="4" w:space="0" w:color="DADCDD"/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  <w:bottom w:val="single" w:sz="4" w:space="0" w:color="DADCDD"/>
            </w:tcBorders>
          </w:tcPr>
          <w:p>
            <w:pPr/>
          </w:p>
        </w:tc>
        <w:tc>
          <w:tcPr>
            <w:tcW w:w="1021" w:type="dxa"/>
            <w:tcBorders>
              <w:top w:val="single" w:sz="4" w:space="0" w:color="DADCDD"/>
              <w:bottom w:val="single" w:sz="4" w:space="0" w:color="DADCDD"/>
              <w:right w:val="single" w:sz="4" w:space="0" w:color="DADCDD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740" w:right="26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4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5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10"/>
        </w:rPr>
      </w:pPr>
    </w:p>
    <w:tbl>
      <w:tblPr>
        <w:tblW w:w="0" w:type="auto"/>
        <w:jc w:val="left"/>
        <w:tblInd w:w="160" w:type="dxa"/>
        <w:tblBorders>
          <w:top w:val="single" w:sz="4" w:space="0" w:color="DADCDD"/>
          <w:left w:val="single" w:sz="4" w:space="0" w:color="DADCDD"/>
          <w:bottom w:val="single" w:sz="4" w:space="0" w:color="DADCDD"/>
          <w:right w:val="single" w:sz="4" w:space="0" w:color="DADCDD"/>
          <w:insideH w:val="single" w:sz="4" w:space="0" w:color="DADCDD"/>
          <w:insideV w:val="single" w:sz="4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4"/>
        <w:gridCol w:w="1013"/>
        <w:gridCol w:w="1183"/>
        <w:gridCol w:w="1542"/>
        <w:gridCol w:w="1162"/>
        <w:gridCol w:w="1246"/>
        <w:gridCol w:w="1246"/>
        <w:gridCol w:w="1141"/>
        <w:gridCol w:w="1140"/>
        <w:gridCol w:w="1014"/>
        <w:gridCol w:w="1014"/>
      </w:tblGrid>
      <w:tr>
        <w:trPr>
          <w:trHeight w:val="274" w:hRule="exact"/>
        </w:trPr>
        <w:tc>
          <w:tcPr>
            <w:tcW w:w="4752" w:type="dxa"/>
            <w:gridSpan w:val="4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CARROLL INDEPENDENT  SCHOOL DISTRICT</w:t>
            </w:r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75" w:hRule="exact"/>
        </w:trPr>
        <w:tc>
          <w:tcPr>
            <w:tcW w:w="3210" w:type="dxa"/>
            <w:gridSpan w:val="3"/>
          </w:tcPr>
          <w:p>
            <w:pPr>
              <w:pStyle w:val="TableParagraph"/>
              <w:rPr>
                <w:b/>
                <w:sz w:val="21"/>
              </w:rPr>
            </w:pPr>
            <w:r>
              <w:rPr>
                <w:b/>
                <w:sz w:val="21"/>
              </w:rPr>
              <w:t>2011 SCHOOL FIRST REPORT</w:t>
            </w:r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</w:tcPr>
          <w:p>
            <w:pPr/>
          </w:p>
        </w:tc>
        <w:tc>
          <w:tcPr>
            <w:tcW w:w="1013" w:type="dxa"/>
          </w:tcPr>
          <w:p>
            <w:pPr/>
          </w:p>
        </w:tc>
        <w:tc>
          <w:tcPr>
            <w:tcW w:w="1183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</w:tcPr>
          <w:p>
            <w:pPr/>
          </w:p>
        </w:tc>
        <w:tc>
          <w:tcPr>
            <w:tcW w:w="1013" w:type="dxa"/>
          </w:tcPr>
          <w:p>
            <w:pPr/>
          </w:p>
        </w:tc>
        <w:tc>
          <w:tcPr>
            <w:tcW w:w="1183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317" w:hRule="exact"/>
        </w:trPr>
        <w:tc>
          <w:tcPr>
            <w:tcW w:w="8406" w:type="dxa"/>
            <w:gridSpan w:val="7"/>
          </w:tcPr>
          <w:p>
            <w:pPr>
              <w:pStyle w:val="TableParagraph"/>
              <w:spacing w:before="20"/>
              <w:ind w:left="412"/>
              <w:rPr>
                <w:rFonts w:ascii="Times New Roman"/>
                <w:b/>
                <w:sz w:val="25"/>
              </w:rPr>
            </w:pPr>
            <w:r>
              <w:rPr>
                <w:rFonts w:ascii="Times New Roman"/>
                <w:b/>
                <w:sz w:val="25"/>
              </w:rPr>
              <w:t>Business Transactions Between School District and Board</w:t>
            </w:r>
            <w:r>
              <w:rPr>
                <w:rFonts w:ascii="Times New Roman"/>
                <w:b/>
                <w:spacing w:val="53"/>
                <w:sz w:val="25"/>
              </w:rPr>
              <w:t> </w:t>
            </w:r>
            <w:r>
              <w:rPr>
                <w:rFonts w:ascii="Times New Roman"/>
                <w:b/>
                <w:sz w:val="25"/>
              </w:rPr>
              <w:t>Members</w:t>
            </w:r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317" w:hRule="exact"/>
        </w:trPr>
        <w:tc>
          <w:tcPr>
            <w:tcW w:w="1014" w:type="dxa"/>
          </w:tcPr>
          <w:p>
            <w:pPr/>
          </w:p>
        </w:tc>
        <w:tc>
          <w:tcPr>
            <w:tcW w:w="1013" w:type="dxa"/>
          </w:tcPr>
          <w:p>
            <w:pPr/>
          </w:p>
        </w:tc>
        <w:tc>
          <w:tcPr>
            <w:tcW w:w="1183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3210" w:type="dxa"/>
            <w:gridSpan w:val="3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For the Twelve-Month Period</w:t>
            </w:r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3210" w:type="dxa"/>
            <w:gridSpan w:val="3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Ended August 31, 2010</w:t>
            </w:r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13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David</w:t>
            </w:r>
          </w:p>
        </w:tc>
        <w:tc>
          <w:tcPr>
            <w:tcW w:w="1183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Craig</w:t>
            </w:r>
          </w:p>
        </w:tc>
        <w:tc>
          <w:tcPr>
            <w:tcW w:w="1542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Bernie</w:t>
            </w:r>
          </w:p>
        </w:tc>
        <w:tc>
          <w:tcPr>
            <w:tcW w:w="1162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Sue</w:t>
            </w:r>
          </w:p>
        </w:tc>
        <w:tc>
          <w:tcPr>
            <w:tcW w:w="1246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Read</w:t>
            </w:r>
          </w:p>
        </w:tc>
        <w:tc>
          <w:tcPr>
            <w:tcW w:w="1246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Erin</w:t>
            </w:r>
          </w:p>
        </w:tc>
        <w:tc>
          <w:tcPr>
            <w:tcW w:w="1141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John</w:t>
            </w:r>
          </w:p>
        </w:tc>
        <w:tc>
          <w:tcPr>
            <w:tcW w:w="1140" w:type="dxa"/>
            <w:tcBorders>
              <w:bottom w:val="single" w:sz="4" w:space="0" w:color="DADCDD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Sherri</w:t>
            </w:r>
          </w:p>
        </w:tc>
        <w:tc>
          <w:tcPr>
            <w:tcW w:w="1014" w:type="dxa"/>
            <w:tcBorders>
              <w:bottom w:val="single" w:sz="4" w:space="0" w:color="DADCDD"/>
            </w:tcBorders>
          </w:tcPr>
          <w:p>
            <w:pPr/>
          </w:p>
        </w:tc>
        <w:tc>
          <w:tcPr>
            <w:tcW w:w="1014" w:type="dxa"/>
            <w:tcBorders>
              <w:bottom w:val="single" w:sz="4" w:space="0" w:color="DADCDD"/>
            </w:tcBorders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13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Faltys</w:t>
            </w:r>
          </w:p>
        </w:tc>
        <w:tc>
          <w:tcPr>
            <w:tcW w:w="1183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Rothmeier</w:t>
            </w:r>
          </w:p>
        </w:tc>
        <w:tc>
          <w:tcPr>
            <w:tcW w:w="1542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Ausdenmoore</w:t>
            </w:r>
          </w:p>
        </w:tc>
        <w:tc>
          <w:tcPr>
            <w:tcW w:w="1162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Armstrong</w:t>
            </w:r>
          </w:p>
        </w:tc>
        <w:tc>
          <w:tcPr>
            <w:tcW w:w="1246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Ballew</w:t>
            </w:r>
          </w:p>
        </w:tc>
        <w:tc>
          <w:tcPr>
            <w:tcW w:w="1246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Shoupp</w:t>
            </w:r>
          </w:p>
        </w:tc>
        <w:tc>
          <w:tcPr>
            <w:tcW w:w="1141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Thane</w:t>
            </w:r>
          </w:p>
        </w:tc>
        <w:tc>
          <w:tcPr>
            <w:tcW w:w="1140" w:type="dxa"/>
            <w:tcBorders>
              <w:top w:val="single" w:sz="4" w:space="0" w:color="DADCDD"/>
            </w:tcBorders>
          </w:tcPr>
          <w:p>
            <w:pPr>
              <w:pStyle w:val="TableParagraph"/>
              <w:spacing w:before="13"/>
              <w:rPr>
                <w:sz w:val="21"/>
              </w:rPr>
            </w:pPr>
            <w:r>
              <w:rPr>
                <w:sz w:val="21"/>
              </w:rPr>
              <w:t>Williams</w:t>
            </w:r>
          </w:p>
        </w:tc>
        <w:tc>
          <w:tcPr>
            <w:tcW w:w="1014" w:type="dxa"/>
            <w:tcBorders>
              <w:top w:val="single" w:sz="4" w:space="0" w:color="DADCDD"/>
            </w:tcBorders>
          </w:tcPr>
          <w:p>
            <w:pPr/>
          </w:p>
        </w:tc>
        <w:tc>
          <w:tcPr>
            <w:tcW w:w="1014" w:type="dxa"/>
            <w:tcBorders>
              <w:top w:val="single" w:sz="4" w:space="0" w:color="DADCDD"/>
            </w:tcBorders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  <w:vMerge w:val="restart"/>
          </w:tcPr>
          <w:p>
            <w:pPr/>
          </w:p>
        </w:tc>
        <w:tc>
          <w:tcPr>
            <w:tcW w:w="101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Supt.</w:t>
            </w:r>
          </w:p>
        </w:tc>
        <w:tc>
          <w:tcPr>
            <w:tcW w:w="1183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54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62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4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246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41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140" w:type="dxa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Board</w:t>
            </w:r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9" w:hRule="exact"/>
        </w:trPr>
        <w:tc>
          <w:tcPr>
            <w:tcW w:w="1014" w:type="dxa"/>
            <w:vMerge/>
          </w:tcPr>
          <w:p>
            <w:pPr/>
          </w:p>
        </w:tc>
        <w:tc>
          <w:tcPr>
            <w:tcW w:w="1013" w:type="dxa"/>
            <w:tcBorders>
              <w:bottom w:val="single" w:sz="8" w:space="0" w:color="000000"/>
            </w:tcBorders>
          </w:tcPr>
          <w:p>
            <w:pPr/>
          </w:p>
        </w:tc>
        <w:tc>
          <w:tcPr>
            <w:tcW w:w="1183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1</w:t>
            </w:r>
          </w:p>
        </w:tc>
        <w:tc>
          <w:tcPr>
            <w:tcW w:w="154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2</w:t>
            </w:r>
          </w:p>
        </w:tc>
        <w:tc>
          <w:tcPr>
            <w:tcW w:w="1162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3</w:t>
            </w:r>
          </w:p>
        </w:tc>
        <w:tc>
          <w:tcPr>
            <w:tcW w:w="124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4</w:t>
            </w:r>
          </w:p>
        </w:tc>
        <w:tc>
          <w:tcPr>
            <w:tcW w:w="1246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5</w:t>
            </w:r>
          </w:p>
        </w:tc>
        <w:tc>
          <w:tcPr>
            <w:tcW w:w="1141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6</w:t>
            </w:r>
          </w:p>
        </w:tc>
        <w:tc>
          <w:tcPr>
            <w:tcW w:w="1140" w:type="dxa"/>
            <w:tcBorders>
              <w:bottom w:val="single" w:sz="8" w:space="0" w:color="000000"/>
            </w:tcBorders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Member 7</w:t>
            </w:r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74" w:hRule="exact"/>
        </w:trPr>
        <w:tc>
          <w:tcPr>
            <w:tcW w:w="1014" w:type="dxa"/>
          </w:tcPr>
          <w:p>
            <w:pPr>
              <w:pStyle w:val="TableParagraph"/>
              <w:spacing w:before="19"/>
              <w:rPr>
                <w:sz w:val="21"/>
              </w:rPr>
            </w:pPr>
            <w:r>
              <w:rPr>
                <w:sz w:val="21"/>
              </w:rPr>
              <w:t>Amounts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443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8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12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54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971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62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91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7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246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675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70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ind w:left="570"/>
              <w:rPr>
                <w:sz w:val="21"/>
              </w:rPr>
            </w:pPr>
            <w:r>
              <w:rPr>
                <w:sz w:val="21"/>
              </w:rPr>
              <w:t>$0.00</w:t>
            </w:r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9" w:hRule="exact"/>
        </w:trPr>
        <w:tc>
          <w:tcPr>
            <w:tcW w:w="1014" w:type="dxa"/>
          </w:tcPr>
          <w:p>
            <w:pPr/>
          </w:p>
        </w:tc>
        <w:tc>
          <w:tcPr>
            <w:tcW w:w="1013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83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542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62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246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246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41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140" w:type="dxa"/>
            <w:tcBorders>
              <w:top w:val="single" w:sz="8" w:space="0" w:color="000000"/>
            </w:tcBorders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74" w:hRule="exact"/>
        </w:trPr>
        <w:tc>
          <w:tcPr>
            <w:tcW w:w="9546" w:type="dxa"/>
            <w:gridSpan w:val="8"/>
          </w:tcPr>
          <w:p>
            <w:pPr>
              <w:pStyle w:val="TableParagraph"/>
              <w:rPr>
                <w:sz w:val="21"/>
              </w:rPr>
            </w:pPr>
            <w:r>
              <w:rPr>
                <w:b/>
                <w:sz w:val="21"/>
              </w:rPr>
              <w:t>Note - </w:t>
            </w:r>
            <w:r>
              <w:rPr>
                <w:sz w:val="21"/>
              </w:rPr>
              <w:t>The summary amounts reported under this disclosure are not    to duplicate the items</w:t>
            </w:r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8406" w:type="dxa"/>
            <w:gridSpan w:val="7"/>
          </w:tcPr>
          <w:p>
            <w:pPr>
              <w:pStyle w:val="TableParagraph"/>
              <w:rPr>
                <w:sz w:val="21"/>
              </w:rPr>
            </w:pPr>
            <w:r>
              <w:rPr>
                <w:sz w:val="21"/>
              </w:rPr>
              <w:t>disclosed in the summary schedule of reimbursements received by board  members.</w:t>
            </w:r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  <w:tr>
        <w:trPr>
          <w:trHeight w:val="264" w:hRule="exact"/>
        </w:trPr>
        <w:tc>
          <w:tcPr>
            <w:tcW w:w="1014" w:type="dxa"/>
          </w:tcPr>
          <w:p>
            <w:pPr/>
          </w:p>
        </w:tc>
        <w:tc>
          <w:tcPr>
            <w:tcW w:w="1013" w:type="dxa"/>
          </w:tcPr>
          <w:p>
            <w:pPr/>
          </w:p>
        </w:tc>
        <w:tc>
          <w:tcPr>
            <w:tcW w:w="1183" w:type="dxa"/>
          </w:tcPr>
          <w:p>
            <w:pPr/>
          </w:p>
        </w:tc>
        <w:tc>
          <w:tcPr>
            <w:tcW w:w="1542" w:type="dxa"/>
          </w:tcPr>
          <w:p>
            <w:pPr/>
          </w:p>
        </w:tc>
        <w:tc>
          <w:tcPr>
            <w:tcW w:w="1162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246" w:type="dxa"/>
          </w:tcPr>
          <w:p>
            <w:pPr/>
          </w:p>
        </w:tc>
        <w:tc>
          <w:tcPr>
            <w:tcW w:w="1141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  <w:tc>
          <w:tcPr>
            <w:tcW w:w="1014" w:type="dxa"/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6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6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4"/>
        <w:rPr>
          <w:rFonts w:ascii="Times New Roman"/>
          <w:b w:val="0"/>
          <w:sz w:val="10"/>
        </w:rPr>
      </w:pPr>
    </w:p>
    <w:tbl>
      <w:tblPr>
        <w:tblW w:w="0" w:type="auto"/>
        <w:jc w:val="left"/>
        <w:tblInd w:w="100" w:type="dxa"/>
        <w:tblBorders>
          <w:top w:val="single" w:sz="5" w:space="0" w:color="DADCDD"/>
          <w:left w:val="single" w:sz="5" w:space="0" w:color="DADCDD"/>
          <w:bottom w:val="single" w:sz="5" w:space="0" w:color="DADCDD"/>
          <w:right w:val="single" w:sz="5" w:space="0" w:color="DADCDD"/>
          <w:insideH w:val="single" w:sz="5" w:space="0" w:color="DADCDD"/>
          <w:insideV w:val="single" w:sz="5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1329"/>
        <w:gridCol w:w="911"/>
        <w:gridCol w:w="924"/>
        <w:gridCol w:w="962"/>
        <w:gridCol w:w="949"/>
        <w:gridCol w:w="974"/>
        <w:gridCol w:w="1012"/>
        <w:gridCol w:w="1025"/>
        <w:gridCol w:w="810"/>
        <w:gridCol w:w="1417"/>
      </w:tblGrid>
      <w:tr>
        <w:trPr>
          <w:trHeight w:val="215" w:hRule="exact"/>
        </w:trPr>
        <w:tc>
          <w:tcPr>
            <w:tcW w:w="3746" w:type="dxa"/>
            <w:gridSpan w:val="2"/>
          </w:tcPr>
          <w:p>
            <w:pPr>
              <w:pStyle w:val="TableParagraph"/>
              <w:ind w:left="25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CARROLL INDEPENDENT SCHOOL DISTRICT</w:t>
            </w:r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6"/>
              <w:jc w:val="right"/>
              <w:rPr>
                <w:b/>
                <w:sz w:val="16"/>
              </w:rPr>
            </w:pPr>
            <w:r>
              <w:rPr>
                <w:b/>
                <w:spacing w:val="-3"/>
                <w:w w:val="105"/>
                <w:sz w:val="16"/>
              </w:rPr>
              <w:t>2011 SCHOOL </w:t>
            </w:r>
            <w:r>
              <w:rPr>
                <w:b/>
                <w:w w:val="105"/>
                <w:sz w:val="16"/>
              </w:rPr>
              <w:t>FIRST </w:t>
            </w:r>
            <w:r>
              <w:rPr>
                <w:b/>
                <w:spacing w:val="-4"/>
                <w:w w:val="105"/>
                <w:sz w:val="16"/>
              </w:rPr>
              <w:t>REPORT</w:t>
            </w:r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</w:tcPr>
          <w:p>
            <w:pPr/>
          </w:p>
        </w:tc>
      </w:tr>
      <w:tr>
        <w:trPr>
          <w:trHeight w:val="266" w:hRule="exact"/>
        </w:trPr>
        <w:tc>
          <w:tcPr>
            <w:tcW w:w="8466" w:type="dxa"/>
            <w:gridSpan w:val="7"/>
            <w:tcBorders>
              <w:bottom w:val="single" w:sz="5" w:space="0" w:color="DADCDD"/>
            </w:tcBorders>
          </w:tcPr>
          <w:p>
            <w:pPr>
              <w:pStyle w:val="TableParagraph"/>
              <w:spacing w:before="12"/>
              <w:ind w:left="25"/>
              <w:rPr>
                <w:rFonts w:ascii="Calibri" w:hAnsi="Calibri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Summary Schedule  of Data Submitted under the  Financial Solvency Provisions  of TEC </w:t>
            </w:r>
            <w:r>
              <w:rPr>
                <w:rFonts w:ascii="Calibri" w:hAnsi="Calibri"/>
                <w:b/>
                <w:sz w:val="20"/>
              </w:rPr>
              <w:t>§39.0822</w:t>
            </w:r>
          </w:p>
        </w:tc>
        <w:tc>
          <w:tcPr>
            <w:tcW w:w="1012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025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810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417" w:type="dxa"/>
            <w:tcBorders>
              <w:bottom w:val="single" w:sz="5" w:space="0" w:color="DADCDD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329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11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24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62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49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74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012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025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810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417" w:type="dxa"/>
            <w:tcBorders>
              <w:top w:val="single" w:sz="5" w:space="0" w:color="DADCDD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4657" w:type="dxa"/>
            <w:gridSpan w:val="3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  <w:u w:val="single"/>
              </w:rPr>
              <w:t>General Fund - First-Quarter Expenditures By Object Code</w:t>
            </w:r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</w:tcPr>
          <w:p>
            <w:pPr/>
          </w:p>
        </w:tc>
      </w:tr>
      <w:tr>
        <w:trPr>
          <w:trHeight w:val="215" w:hRule="exact"/>
        </w:trPr>
        <w:tc>
          <w:tcPr>
            <w:tcW w:w="11313" w:type="dxa"/>
            <w:gridSpan w:val="10"/>
          </w:tcPr>
          <w:p>
            <w:pPr>
              <w:pStyle w:val="TableParagraph"/>
              <w:ind w:left="327"/>
              <w:rPr>
                <w:sz w:val="16"/>
              </w:rPr>
            </w:pPr>
            <w:r>
              <w:rPr>
                <w:w w:val="105"/>
                <w:sz w:val="16"/>
              </w:rPr>
              <w:t>Report </w:t>
            </w:r>
            <w:r>
              <w:rPr>
                <w:b/>
                <w:w w:val="105"/>
                <w:sz w:val="16"/>
              </w:rPr>
              <w:t>2010-2011 first-quarter </w:t>
            </w:r>
            <w:r>
              <w:rPr>
                <w:w w:val="105"/>
                <w:sz w:val="16"/>
              </w:rPr>
              <w:t>(</w:t>
            </w:r>
            <w:r>
              <w:rPr>
                <w:b/>
                <w:w w:val="105"/>
                <w:sz w:val="16"/>
              </w:rPr>
              <w:t>first three months </w:t>
            </w:r>
            <w:r>
              <w:rPr>
                <w:w w:val="105"/>
                <w:sz w:val="16"/>
              </w:rPr>
              <w:t>of fiscal year 2010-2011) GENERAL FUND expenditures by object code using whole numbers.</w:t>
            </w:r>
          </w:p>
        </w:tc>
        <w:tc>
          <w:tcPr>
            <w:tcW w:w="1417" w:type="dxa"/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329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11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24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62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49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974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012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025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810" w:type="dxa"/>
            <w:tcBorders>
              <w:bottom w:val="single" w:sz="5" w:space="0" w:color="DADCDD"/>
            </w:tcBorders>
          </w:tcPr>
          <w:p>
            <w:pPr/>
          </w:p>
        </w:tc>
        <w:tc>
          <w:tcPr>
            <w:tcW w:w="1417" w:type="dxa"/>
            <w:tcBorders>
              <w:bottom w:val="single" w:sz="5" w:space="0" w:color="DADCDD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  <w:tcBorders>
              <w:top w:val="single" w:sz="5" w:space="0" w:color="DADCDD"/>
            </w:tcBorders>
          </w:tcPr>
          <w:p>
            <w:pPr>
              <w:pStyle w:val="TableParagraph"/>
              <w:ind w:left="0"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Payroll-</w:t>
            </w:r>
          </w:p>
        </w:tc>
        <w:tc>
          <w:tcPr>
            <w:tcW w:w="3163" w:type="dxa"/>
            <w:gridSpan w:val="3"/>
            <w:tcBorders>
              <w:top w:val="single" w:sz="5" w:space="0" w:color="DADCDD"/>
            </w:tcBorders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payroll costs</w:t>
            </w:r>
          </w:p>
        </w:tc>
        <w:tc>
          <w:tcPr>
            <w:tcW w:w="962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49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974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2037" w:type="dxa"/>
            <w:gridSpan w:val="2"/>
            <w:tcBorders>
              <w:top w:val="single" w:sz="5" w:space="0" w:color="DADCDD"/>
            </w:tcBorders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codes 6110-6149</w:t>
            </w:r>
          </w:p>
        </w:tc>
        <w:tc>
          <w:tcPr>
            <w:tcW w:w="810" w:type="dxa"/>
            <w:tcBorders>
              <w:top w:val="single" w:sz="5" w:space="0" w:color="DADCDD"/>
            </w:tcBorders>
          </w:tcPr>
          <w:p>
            <w:pPr/>
          </w:p>
        </w:tc>
        <w:tc>
          <w:tcPr>
            <w:tcW w:w="1417" w:type="dxa"/>
            <w:tcBorders>
              <w:top w:val="single" w:sz="5" w:space="0" w:color="DADCDD"/>
              <w:bottom w:val="single" w:sz="5" w:space="0" w:color="000000"/>
            </w:tcBorders>
          </w:tcPr>
          <w:p>
            <w:pPr>
              <w:pStyle w:val="TableParagraph"/>
              <w:tabs>
                <w:tab w:pos="518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10,525,532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Contract Costs-</w:t>
            </w:r>
          </w:p>
        </w:tc>
        <w:tc>
          <w:tcPr>
            <w:tcW w:w="6048" w:type="dxa"/>
            <w:gridSpan w:val="6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services rendered by firms, individuals, and other organizations</w:t>
            </w:r>
          </w:p>
        </w:tc>
        <w:tc>
          <w:tcPr>
            <w:tcW w:w="2037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6200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607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1,361,633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3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Supplies and Materials-</w:t>
            </w:r>
          </w:p>
        </w:tc>
        <w:tc>
          <w:tcPr>
            <w:tcW w:w="6048" w:type="dxa"/>
            <w:gridSpan w:val="6"/>
            <w:vMerge w:val="restart"/>
          </w:tcPr>
          <w:p>
            <w:pPr>
              <w:pStyle w:val="TableParagraph"/>
              <w:spacing w:line="280" w:lineRule="auto"/>
              <w:ind w:left="25" w:right="291"/>
              <w:rPr>
                <w:sz w:val="16"/>
              </w:rPr>
            </w:pPr>
            <w:r>
              <w:rPr>
                <w:w w:val="105"/>
                <w:sz w:val="16"/>
              </w:rPr>
              <w:t>Expenditures </w:t>
            </w:r>
            <w:r>
              <w:rPr>
                <w:spacing w:val="-4"/>
                <w:w w:val="105"/>
                <w:sz w:val="16"/>
              </w:rPr>
              <w:t>for </w:t>
            </w:r>
            <w:r>
              <w:rPr>
                <w:w w:val="105"/>
                <w:sz w:val="16"/>
              </w:rPr>
              <w:t>supplies </w:t>
            </w:r>
            <w:r>
              <w:rPr>
                <w:spacing w:val="-3"/>
                <w:w w:val="105"/>
                <w:sz w:val="16"/>
              </w:rPr>
              <w:t>and </w:t>
            </w:r>
            <w:r>
              <w:rPr>
                <w:w w:val="105"/>
                <w:sz w:val="16"/>
              </w:rPr>
              <w:t>materials necessary to maintain </w:t>
            </w:r>
            <w:r>
              <w:rPr>
                <w:spacing w:val="-2"/>
                <w:w w:val="105"/>
                <w:sz w:val="16"/>
              </w:rPr>
              <w:t>and/or </w:t>
            </w:r>
            <w:r>
              <w:rPr>
                <w:spacing w:val="-3"/>
                <w:w w:val="105"/>
                <w:sz w:val="16"/>
              </w:rPr>
              <w:t>operate furniture, </w:t>
            </w:r>
            <w:r>
              <w:rPr>
                <w:w w:val="105"/>
                <w:sz w:val="16"/>
              </w:rPr>
              <w:t>computers, equipment, </w:t>
            </w:r>
            <w:r>
              <w:rPr>
                <w:spacing w:val="-3"/>
                <w:w w:val="105"/>
                <w:sz w:val="16"/>
              </w:rPr>
              <w:t>vehicles, grounds, and </w:t>
            </w:r>
            <w:r>
              <w:rPr>
                <w:w w:val="105"/>
                <w:sz w:val="16"/>
              </w:rPr>
              <w:t>facilities</w:t>
            </w:r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6048" w:type="dxa"/>
            <w:gridSpan w:val="6"/>
            <w:vMerge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6300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bottom w:val="single" w:sz="5" w:space="0" w:color="000000"/>
            </w:tcBorders>
          </w:tcPr>
          <w:p>
            <w:pPr>
              <w:pStyle w:val="TableParagraph"/>
              <w:tabs>
                <w:tab w:pos="746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</w:r>
            <w:r>
              <w:rPr>
                <w:spacing w:val="-3"/>
                <w:w w:val="105"/>
                <w:sz w:val="16"/>
              </w:rPr>
              <w:t>544,967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1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Other Operating-</w:t>
            </w:r>
          </w:p>
        </w:tc>
        <w:tc>
          <w:tcPr>
            <w:tcW w:w="6048" w:type="dxa"/>
            <w:gridSpan w:val="6"/>
            <w:vMerge w:val="restart"/>
          </w:tcPr>
          <w:p>
            <w:pPr>
              <w:pStyle w:val="TableParagraph"/>
              <w:spacing w:line="280" w:lineRule="auto"/>
              <w:ind w:left="25" w:right="174"/>
              <w:rPr>
                <w:sz w:val="16"/>
              </w:rPr>
            </w:pPr>
            <w:r>
              <w:rPr>
                <w:w w:val="105"/>
                <w:sz w:val="16"/>
              </w:rPr>
              <w:t>Expenditures </w:t>
            </w:r>
            <w:r>
              <w:rPr>
                <w:spacing w:val="-4"/>
                <w:w w:val="105"/>
                <w:sz w:val="16"/>
              </w:rPr>
              <w:t>for </w:t>
            </w:r>
            <w:r>
              <w:rPr>
                <w:w w:val="105"/>
                <w:sz w:val="16"/>
              </w:rPr>
              <w:t>items other than payroll, </w:t>
            </w:r>
            <w:r>
              <w:rPr>
                <w:spacing w:val="-3"/>
                <w:w w:val="105"/>
                <w:sz w:val="16"/>
              </w:rPr>
              <w:t>professional and </w:t>
            </w:r>
            <w:r>
              <w:rPr>
                <w:w w:val="105"/>
                <w:sz w:val="16"/>
              </w:rPr>
              <w:t>contracted services, supplies </w:t>
            </w:r>
            <w:r>
              <w:rPr>
                <w:spacing w:val="-3"/>
                <w:w w:val="105"/>
                <w:sz w:val="16"/>
              </w:rPr>
              <w:t>and </w:t>
            </w:r>
            <w:r>
              <w:rPr>
                <w:w w:val="105"/>
                <w:sz w:val="16"/>
              </w:rPr>
              <w:t>materials, </w:t>
            </w:r>
            <w:r>
              <w:rPr>
                <w:spacing w:val="-3"/>
                <w:w w:val="105"/>
                <w:sz w:val="16"/>
              </w:rPr>
              <w:t>debt service, and </w:t>
            </w:r>
            <w:r>
              <w:rPr>
                <w:w w:val="105"/>
                <w:sz w:val="16"/>
              </w:rPr>
              <w:t>capital outlay</w:t>
            </w:r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</w:tcBorders>
          </w:tcPr>
          <w:p>
            <w:pPr/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6048" w:type="dxa"/>
            <w:gridSpan w:val="6"/>
            <w:vMerge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6400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bottom w:val="single" w:sz="5" w:space="0" w:color="000000"/>
            </w:tcBorders>
          </w:tcPr>
          <w:p>
            <w:pPr>
              <w:pStyle w:val="TableParagraph"/>
              <w:tabs>
                <w:tab w:pos="746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</w:r>
            <w:r>
              <w:rPr>
                <w:spacing w:val="-3"/>
                <w:w w:val="105"/>
                <w:sz w:val="16"/>
              </w:rPr>
              <w:t>363,218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0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Debt Service-</w:t>
            </w:r>
          </w:p>
        </w:tc>
        <w:tc>
          <w:tcPr>
            <w:tcW w:w="2240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debt service</w:t>
            </w:r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6500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1100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-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>
              <w:pStyle w:val="TableParagraph"/>
              <w:ind w:left="0" w:right="21"/>
              <w:jc w:val="right"/>
              <w:rPr>
                <w:b/>
                <w:sz w:val="16"/>
              </w:rPr>
            </w:pPr>
            <w:r>
              <w:rPr>
                <w:b/>
                <w:w w:val="105"/>
                <w:sz w:val="16"/>
              </w:rPr>
              <w:t>Capital Outlay-</w:t>
            </w:r>
          </w:p>
        </w:tc>
        <w:tc>
          <w:tcPr>
            <w:tcW w:w="4125" w:type="dxa"/>
            <w:gridSpan w:val="4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Expenditures for land, buildings, and equipment</w:t>
            </w:r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2037" w:type="dxa"/>
            <w:gridSpan w:val="2"/>
          </w:tcPr>
          <w:p>
            <w:pPr>
              <w:pStyle w:val="TableParagraph"/>
              <w:ind w:left="25"/>
              <w:rPr>
                <w:sz w:val="16"/>
              </w:rPr>
            </w:pPr>
            <w:r>
              <w:rPr>
                <w:w w:val="105"/>
                <w:sz w:val="16"/>
              </w:rPr>
              <w:t>object code series 6600</w:t>
            </w:r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  <w:bottom w:val="single" w:sz="5" w:space="0" w:color="000000"/>
            </w:tcBorders>
          </w:tcPr>
          <w:p>
            <w:pPr>
              <w:pStyle w:val="TableParagraph"/>
              <w:tabs>
                <w:tab w:pos="1100" w:val="left" w:leader="none"/>
              </w:tabs>
              <w:ind w:left="75"/>
              <w:rPr>
                <w:sz w:val="16"/>
              </w:rPr>
            </w:pPr>
            <w:r>
              <w:rPr>
                <w:w w:val="105"/>
                <w:sz w:val="16"/>
              </w:rPr>
              <w:t>$</w:t>
              <w:tab/>
              <w:t>-</w:t>
            </w:r>
          </w:p>
        </w:tc>
      </w:tr>
      <w:tr>
        <w:trPr>
          <w:trHeight w:val="215" w:hRule="exact"/>
        </w:trPr>
        <w:tc>
          <w:tcPr>
            <w:tcW w:w="2417" w:type="dxa"/>
          </w:tcPr>
          <w:p>
            <w:pPr/>
          </w:p>
        </w:tc>
        <w:tc>
          <w:tcPr>
            <w:tcW w:w="1329" w:type="dxa"/>
          </w:tcPr>
          <w:p>
            <w:pPr/>
          </w:p>
        </w:tc>
        <w:tc>
          <w:tcPr>
            <w:tcW w:w="911" w:type="dxa"/>
          </w:tcPr>
          <w:p>
            <w:pPr/>
          </w:p>
        </w:tc>
        <w:tc>
          <w:tcPr>
            <w:tcW w:w="924" w:type="dxa"/>
          </w:tcPr>
          <w:p>
            <w:pPr/>
          </w:p>
        </w:tc>
        <w:tc>
          <w:tcPr>
            <w:tcW w:w="962" w:type="dxa"/>
          </w:tcPr>
          <w:p>
            <w:pPr/>
          </w:p>
        </w:tc>
        <w:tc>
          <w:tcPr>
            <w:tcW w:w="949" w:type="dxa"/>
          </w:tcPr>
          <w:p>
            <w:pPr/>
          </w:p>
        </w:tc>
        <w:tc>
          <w:tcPr>
            <w:tcW w:w="974" w:type="dxa"/>
          </w:tcPr>
          <w:p>
            <w:pPr/>
          </w:p>
        </w:tc>
        <w:tc>
          <w:tcPr>
            <w:tcW w:w="1012" w:type="dxa"/>
          </w:tcPr>
          <w:p>
            <w:pPr/>
          </w:p>
        </w:tc>
        <w:tc>
          <w:tcPr>
            <w:tcW w:w="1025" w:type="dxa"/>
          </w:tcPr>
          <w:p>
            <w:pPr/>
          </w:p>
        </w:tc>
        <w:tc>
          <w:tcPr>
            <w:tcW w:w="810" w:type="dxa"/>
          </w:tcPr>
          <w:p>
            <w:pPr/>
          </w:p>
        </w:tc>
        <w:tc>
          <w:tcPr>
            <w:tcW w:w="1417" w:type="dxa"/>
            <w:tcBorders>
              <w:top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62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792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" w:after="1"/>
        <w:rPr>
          <w:rFonts w:ascii="Times New Roman"/>
          <w:b w:val="0"/>
          <w:sz w:val="15"/>
        </w:rPr>
      </w:pPr>
    </w:p>
    <w:tbl>
      <w:tblPr>
        <w:tblW w:w="0" w:type="auto"/>
        <w:jc w:val="left"/>
        <w:tblInd w:w="167" w:type="dxa"/>
        <w:tblBorders>
          <w:top w:val="single" w:sz="6" w:space="0" w:color="DADCDD"/>
          <w:left w:val="single" w:sz="6" w:space="0" w:color="DADCDD"/>
          <w:bottom w:val="single" w:sz="6" w:space="0" w:color="DADCDD"/>
          <w:right w:val="single" w:sz="6" w:space="0" w:color="DADCDD"/>
          <w:insideH w:val="single" w:sz="6" w:space="0" w:color="DADCDD"/>
          <w:insideV w:val="single" w:sz="6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65"/>
        <w:gridCol w:w="1575"/>
        <w:gridCol w:w="1080"/>
        <w:gridCol w:w="1095"/>
        <w:gridCol w:w="1140"/>
        <w:gridCol w:w="1125"/>
        <w:gridCol w:w="1155"/>
        <w:gridCol w:w="1200"/>
        <w:gridCol w:w="1215"/>
      </w:tblGrid>
      <w:tr>
        <w:trPr>
          <w:trHeight w:val="255" w:hRule="exact"/>
        </w:trPr>
        <w:tc>
          <w:tcPr>
            <w:tcW w:w="4440" w:type="dxa"/>
            <w:gridSpan w:val="2"/>
            <w:tcBorders>
              <w:bottom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CARROLL INDEPENDENT SCHOOL DISTRICT</w:t>
            </w:r>
          </w:p>
        </w:tc>
        <w:tc>
          <w:tcPr>
            <w:tcW w:w="1080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095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40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25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155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00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15" w:type="dxa"/>
            <w:tcBorders>
              <w:bottom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  <w:tcBorders>
              <w:top w:val="single" w:sz="6" w:space="0" w:color="DADCDD"/>
            </w:tcBorders>
          </w:tcPr>
          <w:p>
            <w:pPr>
              <w:pStyle w:val="TableParagraph"/>
              <w:spacing w:before="16"/>
              <w:ind w:left="29"/>
              <w:rPr>
                <w:b/>
                <w:sz w:val="19"/>
              </w:rPr>
            </w:pPr>
            <w:r>
              <w:rPr>
                <w:b/>
                <w:spacing w:val="-3"/>
                <w:w w:val="105"/>
                <w:sz w:val="19"/>
              </w:rPr>
              <w:t>2011 SCHOOL </w:t>
            </w:r>
            <w:r>
              <w:rPr>
                <w:b/>
                <w:w w:val="105"/>
                <w:sz w:val="19"/>
              </w:rPr>
              <w:t>FIRST </w:t>
            </w:r>
            <w:r>
              <w:rPr>
                <w:b/>
                <w:spacing w:val="-4"/>
                <w:w w:val="105"/>
                <w:sz w:val="19"/>
              </w:rPr>
              <w:t>REPORT</w:t>
            </w:r>
          </w:p>
        </w:tc>
        <w:tc>
          <w:tcPr>
            <w:tcW w:w="157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080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09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40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2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15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200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1215" w:type="dxa"/>
            <w:tcBorders>
              <w:top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1575" w:type="dxa"/>
          </w:tcPr>
          <w:p>
            <w:pPr/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4440" w:type="dxa"/>
            <w:gridSpan w:val="2"/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w w:val="105"/>
                <w:sz w:val="19"/>
                <w:u w:val="single"/>
              </w:rPr>
              <w:t>Additional Financial Solvency Questions</w:t>
            </w:r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1575" w:type="dxa"/>
          </w:tcPr>
          <w:p>
            <w:pPr/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5520" w:type="dxa"/>
            <w:gridSpan w:val="3"/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1) Districts with a September 1- August 31 fiscal year: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5520" w:type="dxa"/>
            <w:gridSpan w:val="3"/>
          </w:tcPr>
          <w:p>
            <w:pPr>
              <w:pStyle w:val="TableParagraph"/>
              <w:spacing w:before="16"/>
              <w:ind w:left="388"/>
              <w:rPr>
                <w:sz w:val="19"/>
              </w:rPr>
            </w:pPr>
            <w:r>
              <w:rPr>
                <w:w w:val="105"/>
                <w:sz w:val="19"/>
              </w:rPr>
              <w:t>Within the last two years, did the school district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6"/>
              <w:ind w:left="48" w:right="53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Yes</w:t>
            </w:r>
          </w:p>
        </w:tc>
        <w:tc>
          <w:tcPr>
            <w:tcW w:w="1215" w:type="dxa"/>
            <w:tcBorders>
              <w:bottom w:val="single" w:sz="6" w:space="0" w:color="000000"/>
            </w:tcBorders>
          </w:tcPr>
          <w:p>
            <w:pPr>
              <w:pStyle w:val="TableParagraph"/>
              <w:spacing w:before="16"/>
              <w:ind w:left="479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 w:val="restart"/>
          </w:tcPr>
          <w:p>
            <w:pPr>
              <w:pStyle w:val="TableParagraph"/>
              <w:spacing w:line="280" w:lineRule="auto" w:before="16"/>
              <w:ind w:left="30" w:right="677"/>
              <w:rPr>
                <w:sz w:val="19"/>
              </w:rPr>
            </w:pPr>
            <w:r>
              <w:rPr>
                <w:w w:val="105"/>
                <w:sz w:val="19"/>
              </w:rPr>
              <w:t>1) </w:t>
            </w:r>
            <w:r>
              <w:rPr>
                <w:spacing w:val="-4"/>
                <w:w w:val="105"/>
                <w:sz w:val="19"/>
              </w:rPr>
              <w:t>draw </w:t>
            </w:r>
            <w:r>
              <w:rPr>
                <w:spacing w:val="-5"/>
                <w:w w:val="105"/>
                <w:sz w:val="19"/>
              </w:rPr>
              <w:t>funds from </w:t>
            </w:r>
            <w:r>
              <w:rPr>
                <w:w w:val="105"/>
                <w:sz w:val="19"/>
              </w:rPr>
              <w:t>a short-term financing note </w:t>
            </w:r>
            <w:r>
              <w:rPr>
                <w:spacing w:val="-3"/>
                <w:w w:val="105"/>
                <w:sz w:val="19"/>
              </w:rPr>
              <w:t>(term </w:t>
            </w:r>
            <w:r>
              <w:rPr>
                <w:w w:val="105"/>
                <w:sz w:val="19"/>
              </w:rPr>
              <w:t>less than 12 months) </w:t>
            </w:r>
            <w:r>
              <w:rPr>
                <w:spacing w:val="-3"/>
                <w:w w:val="105"/>
                <w:sz w:val="19"/>
              </w:rPr>
              <w:t>between </w:t>
            </w:r>
            <w:r>
              <w:rPr>
                <w:w w:val="105"/>
                <w:sz w:val="19"/>
              </w:rPr>
              <w:t>the months of September </w:t>
            </w:r>
            <w:r>
              <w:rPr>
                <w:spacing w:val="-3"/>
                <w:w w:val="105"/>
                <w:sz w:val="19"/>
              </w:rPr>
              <w:t>and December, </w:t>
            </w:r>
            <w:r>
              <w:rPr>
                <w:w w:val="105"/>
                <w:sz w:val="19"/>
              </w:rPr>
              <w:t>inclusive, </w:t>
            </w:r>
            <w:r>
              <w:rPr>
                <w:spacing w:val="-3"/>
                <w:w w:val="105"/>
                <w:sz w:val="19"/>
              </w:rPr>
              <w:t>and</w:t>
            </w:r>
          </w:p>
        </w:tc>
        <w:tc>
          <w:tcPr>
            <w:tcW w:w="1200" w:type="dxa"/>
            <w:tcBorders>
              <w:top w:val="single" w:sz="6" w:space="0" w:color="000000"/>
            </w:tcBorders>
          </w:tcPr>
          <w:p>
            <w:pPr/>
          </w:p>
        </w:tc>
        <w:tc>
          <w:tcPr>
            <w:tcW w:w="1215" w:type="dxa"/>
            <w:tcBorders>
              <w:top w:val="single" w:sz="6" w:space="0" w:color="000000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/>
          </w:tcPr>
          <w:p>
            <w:pPr/>
          </w:p>
        </w:tc>
        <w:tc>
          <w:tcPr>
            <w:tcW w:w="1200" w:type="dxa"/>
          </w:tcPr>
          <w:p>
            <w:pPr>
              <w:pStyle w:val="TableParagraph"/>
              <w:tabs>
                <w:tab w:pos="621" w:val="left" w:leader="none"/>
              </w:tabs>
              <w:spacing w:before="16"/>
              <w:ind w:left="48"/>
              <w:jc w:val="center"/>
              <w:rPr>
                <w:sz w:val="19"/>
              </w:rPr>
            </w:pPr>
            <w:r>
              <w:rPr>
                <w:w w:val="102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15" w:type="dxa"/>
          </w:tcPr>
          <w:p>
            <w:pPr>
              <w:pStyle w:val="TableParagraph"/>
              <w:spacing w:before="16"/>
              <w:ind w:left="479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 w:val="restart"/>
          </w:tcPr>
          <w:p>
            <w:pPr>
              <w:pStyle w:val="TableParagraph"/>
              <w:spacing w:line="280" w:lineRule="auto" w:before="16"/>
              <w:ind w:left="30" w:right="593"/>
              <w:rPr>
                <w:sz w:val="19"/>
              </w:rPr>
            </w:pPr>
            <w:r>
              <w:rPr>
                <w:w w:val="105"/>
                <w:sz w:val="19"/>
              </w:rPr>
              <w:t>2)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w w:val="105"/>
                <w:sz w:val="19"/>
              </w:rPr>
              <w:t>the </w:t>
            </w:r>
            <w:r>
              <w:rPr>
                <w:spacing w:val="-3"/>
                <w:w w:val="105"/>
                <w:sz w:val="19"/>
              </w:rPr>
              <w:t>prior </w:t>
            </w:r>
            <w:r>
              <w:rPr>
                <w:w w:val="105"/>
                <w:sz w:val="19"/>
              </w:rPr>
              <w:t>fiscal year, </w:t>
            </w:r>
            <w:r>
              <w:rPr>
                <w:spacing w:val="-8"/>
                <w:w w:val="105"/>
                <w:sz w:val="19"/>
              </w:rPr>
              <w:t>have </w:t>
            </w:r>
            <w:r>
              <w:rPr>
                <w:w w:val="105"/>
                <w:sz w:val="19"/>
              </w:rPr>
              <w:t>a total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balance of less than 2 </w:t>
            </w:r>
            <w:r>
              <w:rPr>
                <w:spacing w:val="-3"/>
                <w:w w:val="105"/>
                <w:sz w:val="19"/>
              </w:rPr>
              <w:t>percent </w:t>
            </w:r>
            <w:r>
              <w:rPr>
                <w:w w:val="105"/>
                <w:sz w:val="19"/>
              </w:rPr>
              <w:t>of total expenditures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function codes </w:t>
            </w:r>
            <w:r>
              <w:rPr>
                <w:spacing w:val="-4"/>
                <w:w w:val="105"/>
                <w:sz w:val="19"/>
              </w:rPr>
              <w:t>11-61?</w:t>
            </w:r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/>
          </w:tcPr>
          <w:p>
            <w:pPr/>
          </w:p>
        </w:tc>
        <w:tc>
          <w:tcPr>
            <w:tcW w:w="1200" w:type="dxa"/>
          </w:tcPr>
          <w:p>
            <w:pPr>
              <w:pStyle w:val="TableParagraph"/>
              <w:tabs>
                <w:tab w:pos="621" w:val="left" w:leader="none"/>
              </w:tabs>
              <w:spacing w:before="17"/>
              <w:ind w:left="48"/>
              <w:jc w:val="center"/>
              <w:rPr>
                <w:sz w:val="19"/>
              </w:rPr>
            </w:pPr>
            <w:r>
              <w:rPr>
                <w:w w:val="102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15" w:type="dxa"/>
          </w:tcPr>
          <w:p>
            <w:pPr>
              <w:pStyle w:val="TableParagraph"/>
              <w:spacing w:before="17"/>
              <w:ind w:left="479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1575" w:type="dxa"/>
          </w:tcPr>
          <w:p>
            <w:pPr/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4440" w:type="dxa"/>
            <w:gridSpan w:val="2"/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Districts with a July 1- June 30 fiscal year:</w:t>
            </w:r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5520" w:type="dxa"/>
            <w:gridSpan w:val="3"/>
          </w:tcPr>
          <w:p>
            <w:pPr>
              <w:pStyle w:val="TableParagraph"/>
              <w:spacing w:before="16"/>
              <w:ind w:left="388"/>
              <w:rPr>
                <w:sz w:val="19"/>
              </w:rPr>
            </w:pPr>
            <w:r>
              <w:rPr>
                <w:w w:val="105"/>
                <w:sz w:val="19"/>
              </w:rPr>
              <w:t>Within the last two years, did the school district</w:t>
            </w:r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 w:val="restart"/>
          </w:tcPr>
          <w:p>
            <w:pPr>
              <w:pStyle w:val="TableParagraph"/>
              <w:spacing w:line="280" w:lineRule="auto" w:before="16"/>
              <w:ind w:left="30" w:right="677"/>
              <w:rPr>
                <w:sz w:val="19"/>
              </w:rPr>
            </w:pPr>
            <w:r>
              <w:rPr>
                <w:w w:val="105"/>
                <w:sz w:val="19"/>
              </w:rPr>
              <w:t>1) </w:t>
            </w:r>
            <w:r>
              <w:rPr>
                <w:spacing w:val="-4"/>
                <w:w w:val="105"/>
                <w:sz w:val="19"/>
              </w:rPr>
              <w:t>draw </w:t>
            </w:r>
            <w:r>
              <w:rPr>
                <w:spacing w:val="-5"/>
                <w:w w:val="105"/>
                <w:sz w:val="19"/>
              </w:rPr>
              <w:t>funds from </w:t>
            </w:r>
            <w:r>
              <w:rPr>
                <w:w w:val="105"/>
                <w:sz w:val="19"/>
              </w:rPr>
              <w:t>a short-term financing note </w:t>
            </w:r>
            <w:r>
              <w:rPr>
                <w:spacing w:val="-3"/>
                <w:w w:val="105"/>
                <w:sz w:val="19"/>
              </w:rPr>
              <w:t>(term </w:t>
            </w:r>
            <w:r>
              <w:rPr>
                <w:w w:val="105"/>
                <w:sz w:val="19"/>
              </w:rPr>
              <w:t>less than 12 months) </w:t>
            </w:r>
            <w:r>
              <w:rPr>
                <w:spacing w:val="-3"/>
                <w:w w:val="105"/>
                <w:sz w:val="19"/>
              </w:rPr>
              <w:t>between </w:t>
            </w:r>
            <w:r>
              <w:rPr>
                <w:w w:val="105"/>
                <w:sz w:val="19"/>
              </w:rPr>
              <w:t>the months of </w:t>
            </w:r>
            <w:r>
              <w:rPr>
                <w:spacing w:val="-3"/>
                <w:w w:val="105"/>
                <w:sz w:val="19"/>
              </w:rPr>
              <w:t>July and </w:t>
            </w:r>
            <w:r>
              <w:rPr>
                <w:w w:val="105"/>
                <w:sz w:val="19"/>
              </w:rPr>
              <w:t>October, inclusive, </w:t>
            </w:r>
            <w:r>
              <w:rPr>
                <w:spacing w:val="-3"/>
                <w:w w:val="105"/>
                <w:sz w:val="19"/>
              </w:rPr>
              <w:t>and</w:t>
            </w:r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7170" w:type="dxa"/>
            <w:gridSpan w:val="6"/>
            <w:vMerge/>
          </w:tcPr>
          <w:p>
            <w:pPr/>
          </w:p>
        </w:tc>
        <w:tc>
          <w:tcPr>
            <w:tcW w:w="1200" w:type="dxa"/>
          </w:tcPr>
          <w:p>
            <w:pPr>
              <w:pStyle w:val="TableParagraph"/>
              <w:spacing w:before="16"/>
              <w:ind w:left="48" w:right="3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  <w:tc>
          <w:tcPr>
            <w:tcW w:w="1215" w:type="dxa"/>
          </w:tcPr>
          <w:p>
            <w:pPr>
              <w:pStyle w:val="TableParagraph"/>
              <w:spacing w:before="16"/>
              <w:ind w:left="435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</w:tr>
      <w:tr>
        <w:trPr>
          <w:trHeight w:val="255" w:hRule="exact"/>
        </w:trPr>
        <w:tc>
          <w:tcPr>
            <w:tcW w:w="2865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7170" w:type="dxa"/>
            <w:gridSpan w:val="6"/>
            <w:vMerge w:val="restart"/>
          </w:tcPr>
          <w:p>
            <w:pPr>
              <w:pStyle w:val="TableParagraph"/>
              <w:spacing w:line="280" w:lineRule="auto" w:before="16"/>
              <w:ind w:left="30" w:right="593"/>
              <w:rPr>
                <w:sz w:val="19"/>
              </w:rPr>
            </w:pPr>
            <w:r>
              <w:rPr>
                <w:w w:val="105"/>
                <w:sz w:val="19"/>
              </w:rPr>
              <w:t>2)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w w:val="105"/>
                <w:sz w:val="19"/>
              </w:rPr>
              <w:t>the </w:t>
            </w:r>
            <w:r>
              <w:rPr>
                <w:spacing w:val="-3"/>
                <w:w w:val="105"/>
                <w:sz w:val="19"/>
              </w:rPr>
              <w:t>prior </w:t>
            </w:r>
            <w:r>
              <w:rPr>
                <w:w w:val="105"/>
                <w:sz w:val="19"/>
              </w:rPr>
              <w:t>fiscal year, </w:t>
            </w:r>
            <w:r>
              <w:rPr>
                <w:spacing w:val="-8"/>
                <w:w w:val="105"/>
                <w:sz w:val="19"/>
              </w:rPr>
              <w:t>have </w:t>
            </w:r>
            <w:r>
              <w:rPr>
                <w:w w:val="105"/>
                <w:sz w:val="19"/>
              </w:rPr>
              <w:t>a total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balance of less than 2 </w:t>
            </w:r>
            <w:r>
              <w:rPr>
                <w:spacing w:val="-3"/>
                <w:w w:val="105"/>
                <w:sz w:val="19"/>
              </w:rPr>
              <w:t>percent </w:t>
            </w:r>
            <w:r>
              <w:rPr>
                <w:w w:val="105"/>
                <w:sz w:val="19"/>
              </w:rPr>
              <w:t>of total expenditures </w:t>
            </w:r>
            <w:r>
              <w:rPr>
                <w:spacing w:val="-5"/>
                <w:w w:val="105"/>
                <w:sz w:val="19"/>
              </w:rPr>
              <w:t>for </w:t>
            </w:r>
            <w:r>
              <w:rPr>
                <w:spacing w:val="-4"/>
                <w:w w:val="105"/>
                <w:sz w:val="19"/>
              </w:rPr>
              <w:t>General </w:t>
            </w:r>
            <w:r>
              <w:rPr>
                <w:w w:val="105"/>
                <w:sz w:val="19"/>
              </w:rPr>
              <w:t>Fund function codes </w:t>
            </w:r>
            <w:r>
              <w:rPr>
                <w:spacing w:val="-4"/>
                <w:w w:val="105"/>
                <w:sz w:val="19"/>
              </w:rPr>
              <w:t>11-61?</w:t>
            </w:r>
          </w:p>
        </w:tc>
        <w:tc>
          <w:tcPr>
            <w:tcW w:w="1200" w:type="dxa"/>
            <w:tcBorders>
              <w:bottom w:val="single" w:sz="6" w:space="0" w:color="DADCDD"/>
            </w:tcBorders>
          </w:tcPr>
          <w:p>
            <w:pPr/>
          </w:p>
        </w:tc>
        <w:tc>
          <w:tcPr>
            <w:tcW w:w="1215" w:type="dxa"/>
            <w:tcBorders>
              <w:bottom w:val="single" w:sz="6" w:space="0" w:color="DADCDD"/>
            </w:tcBorders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  <w:tcBorders>
              <w:top w:val="single" w:sz="6" w:space="0" w:color="DADCDD"/>
            </w:tcBorders>
          </w:tcPr>
          <w:p>
            <w:pPr/>
          </w:p>
        </w:tc>
        <w:tc>
          <w:tcPr>
            <w:tcW w:w="7170" w:type="dxa"/>
            <w:gridSpan w:val="6"/>
            <w:vMerge/>
          </w:tcPr>
          <w:p>
            <w:pPr/>
          </w:p>
        </w:tc>
        <w:tc>
          <w:tcPr>
            <w:tcW w:w="1200" w:type="dxa"/>
            <w:tcBorders>
              <w:top w:val="single" w:sz="6" w:space="0" w:color="DADCDD"/>
            </w:tcBorders>
          </w:tcPr>
          <w:p>
            <w:pPr>
              <w:pStyle w:val="TableParagraph"/>
              <w:spacing w:before="16"/>
              <w:ind w:left="48" w:right="3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  <w:tc>
          <w:tcPr>
            <w:tcW w:w="1215" w:type="dxa"/>
            <w:tcBorders>
              <w:top w:val="single" w:sz="6" w:space="0" w:color="DADCDD"/>
            </w:tcBorders>
          </w:tcPr>
          <w:p>
            <w:pPr>
              <w:pStyle w:val="TableParagraph"/>
              <w:spacing w:before="16"/>
              <w:ind w:left="435"/>
              <w:rPr>
                <w:sz w:val="19"/>
              </w:rPr>
            </w:pPr>
            <w:r>
              <w:rPr>
                <w:w w:val="105"/>
                <w:sz w:val="19"/>
              </w:rPr>
              <w:t>N/A</w:t>
            </w:r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1575" w:type="dxa"/>
          </w:tcPr>
          <w:p>
            <w:pPr/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2865" w:type="dxa"/>
          </w:tcPr>
          <w:p>
            <w:pPr/>
          </w:p>
        </w:tc>
        <w:tc>
          <w:tcPr>
            <w:tcW w:w="1575" w:type="dxa"/>
          </w:tcPr>
          <w:p>
            <w:pPr/>
          </w:p>
        </w:tc>
        <w:tc>
          <w:tcPr>
            <w:tcW w:w="1080" w:type="dxa"/>
          </w:tcPr>
          <w:p>
            <w:pPr/>
          </w:p>
        </w:tc>
        <w:tc>
          <w:tcPr>
            <w:tcW w:w="1095" w:type="dxa"/>
          </w:tcPr>
          <w:p>
            <w:pPr/>
          </w:p>
        </w:tc>
        <w:tc>
          <w:tcPr>
            <w:tcW w:w="1140" w:type="dxa"/>
          </w:tcPr>
          <w:p>
            <w:pPr/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/>
          </w:p>
        </w:tc>
        <w:tc>
          <w:tcPr>
            <w:tcW w:w="1215" w:type="dxa"/>
          </w:tcPr>
          <w:p>
            <w:pPr/>
          </w:p>
        </w:tc>
      </w:tr>
      <w:tr>
        <w:trPr>
          <w:trHeight w:val="255" w:hRule="exact"/>
        </w:trPr>
        <w:tc>
          <w:tcPr>
            <w:tcW w:w="7754" w:type="dxa"/>
            <w:gridSpan w:val="5"/>
          </w:tcPr>
          <w:p>
            <w:pPr>
              <w:pStyle w:val="TableParagraph"/>
              <w:spacing w:before="16"/>
              <w:ind w:left="29"/>
              <w:rPr>
                <w:sz w:val="19"/>
              </w:rPr>
            </w:pPr>
            <w:r>
              <w:rPr>
                <w:w w:val="105"/>
                <w:sz w:val="19"/>
              </w:rPr>
              <w:t>2) Has the school district declared financial exigency within the past two years?</w:t>
            </w:r>
          </w:p>
        </w:tc>
        <w:tc>
          <w:tcPr>
            <w:tcW w:w="1125" w:type="dxa"/>
          </w:tcPr>
          <w:p>
            <w:pPr/>
          </w:p>
        </w:tc>
        <w:tc>
          <w:tcPr>
            <w:tcW w:w="1155" w:type="dxa"/>
          </w:tcPr>
          <w:p>
            <w:pPr/>
          </w:p>
        </w:tc>
        <w:tc>
          <w:tcPr>
            <w:tcW w:w="1200" w:type="dxa"/>
          </w:tcPr>
          <w:p>
            <w:pPr>
              <w:pStyle w:val="TableParagraph"/>
              <w:tabs>
                <w:tab w:pos="621" w:val="left" w:leader="none"/>
              </w:tabs>
              <w:spacing w:before="16"/>
              <w:ind w:left="48"/>
              <w:jc w:val="center"/>
              <w:rPr>
                <w:sz w:val="19"/>
              </w:rPr>
            </w:pPr>
            <w:r>
              <w:rPr>
                <w:w w:val="102"/>
                <w:sz w:val="19"/>
                <w:u w:val="single"/>
              </w:rPr>
              <w:t> </w:t>
            </w:r>
            <w:r>
              <w:rPr>
                <w:sz w:val="19"/>
                <w:u w:val="single"/>
              </w:rPr>
              <w:tab/>
            </w:r>
          </w:p>
        </w:tc>
        <w:tc>
          <w:tcPr>
            <w:tcW w:w="1215" w:type="dxa"/>
          </w:tcPr>
          <w:p>
            <w:pPr>
              <w:pStyle w:val="TableParagraph"/>
              <w:spacing w:before="16"/>
              <w:ind w:left="479"/>
              <w:rPr>
                <w:sz w:val="19"/>
              </w:rPr>
            </w:pPr>
            <w:r>
              <w:rPr>
                <w:w w:val="105"/>
                <w:sz w:val="19"/>
              </w:rPr>
              <w:t>No</w:t>
            </w:r>
          </w:p>
        </w:tc>
      </w:tr>
    </w:tbl>
    <w:p>
      <w:pPr>
        <w:spacing w:after="0"/>
        <w:rPr>
          <w:sz w:val="19"/>
        </w:rPr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816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5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Times New Roman"/>
          <w:b w:val="0"/>
          <w:sz w:val="18"/>
        </w:rPr>
      </w:pPr>
    </w:p>
    <w:tbl>
      <w:tblPr>
        <w:tblW w:w="0" w:type="auto"/>
        <w:jc w:val="left"/>
        <w:tblInd w:w="519" w:type="dxa"/>
        <w:tblBorders>
          <w:top w:val="single" w:sz="7" w:space="0" w:color="DADCDD"/>
          <w:left w:val="single" w:sz="7" w:space="0" w:color="DADCDD"/>
          <w:bottom w:val="single" w:sz="7" w:space="0" w:color="DADCDD"/>
          <w:right w:val="single" w:sz="7" w:space="0" w:color="DADCDD"/>
          <w:insideH w:val="single" w:sz="7" w:space="0" w:color="DADCDD"/>
          <w:insideV w:val="single" w:sz="7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53"/>
        <w:gridCol w:w="1843"/>
        <w:gridCol w:w="1264"/>
        <w:gridCol w:w="1281"/>
        <w:gridCol w:w="1334"/>
        <w:gridCol w:w="1317"/>
        <w:gridCol w:w="1351"/>
      </w:tblGrid>
      <w:tr>
        <w:trPr>
          <w:trHeight w:val="298" w:hRule="exact"/>
        </w:trPr>
        <w:tc>
          <w:tcPr>
            <w:tcW w:w="5195" w:type="dxa"/>
            <w:gridSpan w:val="2"/>
          </w:tcPr>
          <w:p>
            <w:pPr>
              <w:pStyle w:val="TableParagraph"/>
              <w:spacing w:before="12"/>
              <w:ind w:left="35"/>
              <w:rPr>
                <w:b/>
                <w:sz w:val="23"/>
              </w:rPr>
            </w:pPr>
            <w:r>
              <w:rPr>
                <w:b/>
                <w:sz w:val="23"/>
              </w:rPr>
              <w:t>CARROLL INDEPENDENT SCHOOL DISTRICT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35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>2011 </w:t>
            </w:r>
            <w:r>
              <w:rPr>
                <w:b/>
                <w:spacing w:val="-3"/>
                <w:sz w:val="23"/>
              </w:rPr>
              <w:t>SCHOOL </w:t>
            </w:r>
            <w:r>
              <w:rPr>
                <w:b/>
                <w:sz w:val="23"/>
              </w:rPr>
              <w:t>FIRST </w:t>
            </w:r>
            <w:r>
              <w:rPr>
                <w:b/>
                <w:spacing w:val="-5"/>
                <w:sz w:val="23"/>
              </w:rPr>
              <w:t>REPORT</w:t>
            </w:r>
          </w:p>
        </w:tc>
        <w:tc>
          <w:tcPr>
            <w:tcW w:w="1843" w:type="dxa"/>
          </w:tcPr>
          <w:p>
            <w:pPr/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/>
          </w:p>
        </w:tc>
        <w:tc>
          <w:tcPr>
            <w:tcW w:w="1843" w:type="dxa"/>
          </w:tcPr>
          <w:p>
            <w:pPr/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1194" w:hRule="exact"/>
        </w:trPr>
        <w:tc>
          <w:tcPr>
            <w:tcW w:w="11743" w:type="dxa"/>
            <w:gridSpan w:val="7"/>
          </w:tcPr>
          <w:p>
            <w:pPr>
              <w:pStyle w:val="TableParagraph"/>
              <w:spacing w:line="271" w:lineRule="auto" w:before="12"/>
              <w:ind w:left="35"/>
              <w:rPr>
                <w:sz w:val="23"/>
              </w:rPr>
            </w:pPr>
            <w:r>
              <w:rPr>
                <w:spacing w:val="-3"/>
                <w:sz w:val="23"/>
              </w:rPr>
              <w:t>3) </w:t>
            </w:r>
            <w:r>
              <w:rPr>
                <w:spacing w:val="-6"/>
                <w:sz w:val="23"/>
              </w:rPr>
              <w:t>Provide </w:t>
            </w:r>
            <w:r>
              <w:rPr>
                <w:sz w:val="23"/>
              </w:rPr>
              <w:t>comments </w:t>
            </w:r>
            <w:r>
              <w:rPr>
                <w:spacing w:val="-3"/>
                <w:sz w:val="23"/>
              </w:rPr>
              <w:t>or </w:t>
            </w:r>
            <w:r>
              <w:rPr>
                <w:sz w:val="23"/>
              </w:rPr>
              <w:t>explanations </w:t>
            </w:r>
            <w:r>
              <w:rPr>
                <w:spacing w:val="-6"/>
                <w:sz w:val="23"/>
              </w:rPr>
              <w:t>for </w:t>
            </w:r>
            <w:r>
              <w:rPr>
                <w:sz w:val="23"/>
              </w:rPr>
              <w:t>student-to-staff ratios significantly </w:t>
            </w:r>
            <w:r>
              <w:rPr>
                <w:spacing w:val="-3"/>
                <w:sz w:val="23"/>
              </w:rPr>
              <w:t>(more </w:t>
            </w:r>
            <w:r>
              <w:rPr>
                <w:sz w:val="23"/>
              </w:rPr>
              <w:t>than 15%) </w:t>
            </w:r>
            <w:r>
              <w:rPr>
                <w:spacing w:val="-3"/>
                <w:sz w:val="23"/>
              </w:rPr>
              <w:t>below </w:t>
            </w:r>
            <w:r>
              <w:rPr>
                <w:sz w:val="23"/>
              </w:rPr>
              <w:t>the </w:t>
            </w:r>
            <w:r>
              <w:rPr>
                <w:spacing w:val="-3"/>
                <w:sz w:val="23"/>
              </w:rPr>
              <w:t>norm, rapid </w:t>
            </w:r>
            <w:r>
              <w:rPr>
                <w:sz w:val="23"/>
              </w:rPr>
              <w:t>depletion </w:t>
            </w:r>
            <w:r>
              <w:rPr>
                <w:spacing w:val="-3"/>
                <w:sz w:val="23"/>
              </w:rPr>
              <w:t>of </w:t>
            </w:r>
            <w:r>
              <w:rPr>
                <w:spacing w:val="-5"/>
                <w:sz w:val="23"/>
              </w:rPr>
              <w:t>General </w:t>
            </w:r>
            <w:r>
              <w:rPr>
                <w:spacing w:val="-3"/>
                <w:sz w:val="23"/>
              </w:rPr>
              <w:t>Fund </w:t>
            </w:r>
            <w:r>
              <w:rPr>
                <w:sz w:val="23"/>
              </w:rPr>
              <w:t>balances, </w:t>
            </w:r>
            <w:r>
              <w:rPr>
                <w:spacing w:val="-3"/>
                <w:sz w:val="23"/>
              </w:rPr>
              <w:t>or </w:t>
            </w:r>
            <w:r>
              <w:rPr>
                <w:spacing w:val="-4"/>
                <w:sz w:val="23"/>
              </w:rPr>
              <w:t>any </w:t>
            </w:r>
            <w:r>
              <w:rPr>
                <w:sz w:val="23"/>
              </w:rPr>
              <w:t>significant discrepancies </w:t>
            </w:r>
            <w:r>
              <w:rPr>
                <w:spacing w:val="-4"/>
                <w:sz w:val="23"/>
              </w:rPr>
              <w:t>between </w:t>
            </w:r>
            <w:r>
              <w:rPr>
                <w:sz w:val="23"/>
              </w:rPr>
              <w:t>actual </w:t>
            </w:r>
            <w:r>
              <w:rPr>
                <w:spacing w:val="-5"/>
                <w:sz w:val="23"/>
              </w:rPr>
              <w:t>budget figures </w:t>
            </w:r>
            <w:r>
              <w:rPr>
                <w:spacing w:val="-4"/>
                <w:sz w:val="23"/>
              </w:rPr>
              <w:t>and </w:t>
            </w:r>
            <w:r>
              <w:rPr>
                <w:sz w:val="23"/>
              </w:rPr>
              <w:t>projected </w:t>
            </w:r>
            <w:r>
              <w:rPr>
                <w:spacing w:val="-8"/>
                <w:sz w:val="23"/>
              </w:rPr>
              <w:t>revenues </w:t>
            </w:r>
            <w:r>
              <w:rPr>
                <w:spacing w:val="-4"/>
                <w:sz w:val="23"/>
              </w:rPr>
              <w:t>and </w:t>
            </w:r>
            <w:r>
              <w:rPr>
                <w:sz w:val="23"/>
              </w:rPr>
              <w:t>expenditures, </w:t>
            </w:r>
            <w:r>
              <w:rPr>
                <w:spacing w:val="-3"/>
                <w:sz w:val="23"/>
              </w:rPr>
              <w:t>or </w:t>
            </w:r>
            <w:r>
              <w:rPr>
                <w:spacing w:val="-4"/>
                <w:sz w:val="23"/>
              </w:rPr>
              <w:t>any </w:t>
            </w:r>
            <w:r>
              <w:rPr>
                <w:sz w:val="23"/>
              </w:rPr>
              <w:t>other </w:t>
            </w:r>
            <w:r>
              <w:rPr>
                <w:spacing w:val="-3"/>
                <w:sz w:val="23"/>
              </w:rPr>
              <w:t>information </w:t>
            </w:r>
            <w:r>
              <w:rPr>
                <w:sz w:val="23"/>
              </w:rPr>
              <w:t>that may </w:t>
            </w:r>
            <w:r>
              <w:rPr>
                <w:spacing w:val="-3"/>
                <w:sz w:val="23"/>
              </w:rPr>
              <w:t>be </w:t>
            </w:r>
            <w:r>
              <w:rPr>
                <w:spacing w:val="-5"/>
                <w:sz w:val="23"/>
              </w:rPr>
              <w:t>helpful </w:t>
            </w:r>
            <w:r>
              <w:rPr>
                <w:sz w:val="23"/>
              </w:rPr>
              <w:t>in </w:t>
            </w:r>
            <w:r>
              <w:rPr>
                <w:spacing w:val="-5"/>
                <w:sz w:val="23"/>
              </w:rPr>
              <w:t>evaluating </w:t>
            </w:r>
            <w:r>
              <w:rPr>
                <w:sz w:val="23"/>
              </w:rPr>
              <w:t>the school district's </w:t>
            </w:r>
            <w:r>
              <w:rPr>
                <w:spacing w:val="-3"/>
                <w:sz w:val="23"/>
              </w:rPr>
              <w:t>financial </w:t>
            </w:r>
            <w:r>
              <w:rPr>
                <w:sz w:val="23"/>
              </w:rPr>
              <w:t>solvency.</w:t>
            </w:r>
          </w:p>
        </w:tc>
      </w:tr>
      <w:tr>
        <w:trPr>
          <w:trHeight w:val="614" w:hRule="exact"/>
        </w:trPr>
        <w:tc>
          <w:tcPr>
            <w:tcW w:w="3353" w:type="dxa"/>
          </w:tcPr>
          <w:p>
            <w:pPr/>
          </w:p>
        </w:tc>
        <w:tc>
          <w:tcPr>
            <w:tcW w:w="3107" w:type="dxa"/>
            <w:gridSpan w:val="2"/>
            <w:vMerge w:val="restart"/>
          </w:tcPr>
          <w:p>
            <w:pPr>
              <w:pStyle w:val="TableParagraph"/>
              <w:spacing w:line="271" w:lineRule="auto" w:before="12"/>
              <w:ind w:left="35"/>
              <w:rPr>
                <w:sz w:val="23"/>
              </w:rPr>
            </w:pPr>
            <w:r>
              <w:rPr>
                <w:sz w:val="23"/>
                <w:u w:val="single"/>
              </w:rPr>
              <w:t>85% of Mean Enroll-to- Teacher Ratio</w:t>
            </w:r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35"/>
              <w:rPr>
                <w:sz w:val="23"/>
              </w:rPr>
            </w:pPr>
            <w:r>
              <w:rPr>
                <w:sz w:val="23"/>
                <w:u w:val="single"/>
              </w:rPr>
              <w:t>Mean Enroll-to-Teacher Ratio</w:t>
            </w:r>
          </w:p>
        </w:tc>
        <w:tc>
          <w:tcPr>
            <w:tcW w:w="3107" w:type="dxa"/>
            <w:gridSpan w:val="2"/>
            <w:vMerge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  <w:u w:val="single"/>
              </w:rPr>
              <w:t>School District Size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sz w:val="23"/>
              </w:rPr>
              <w:t>8.39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sz w:val="23"/>
              </w:rPr>
              <w:t>7.13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Under 100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sz w:val="23"/>
              </w:rPr>
              <w:t>9.48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sz w:val="23"/>
              </w:rPr>
              <w:t>8.06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100 to 249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10.73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sz w:val="23"/>
              </w:rPr>
              <w:t>9.12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250 to 499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11.48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sz w:val="23"/>
              </w:rPr>
              <w:t>9.76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500 to 999</w:t>
            </w:r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12.45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10.58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1,000 to 1,599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13.52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11.50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1,600 to 2,999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14.29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12.15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3,000 to 4,999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14.80</w:t>
            </w:r>
          </w:p>
        </w:tc>
        <w:tc>
          <w:tcPr>
            <w:tcW w:w="1843" w:type="dxa"/>
            <w:tcBorders>
              <w:bottom w:val="single" w:sz="7" w:space="0" w:color="DADCDD"/>
            </w:tcBorders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12.58</w:t>
            </w:r>
          </w:p>
        </w:tc>
        <w:tc>
          <w:tcPr>
            <w:tcW w:w="1264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2615" w:type="dxa"/>
            <w:gridSpan w:val="2"/>
            <w:tcBorders>
              <w:bottom w:val="single" w:sz="7" w:space="0" w:color="DADCDD"/>
            </w:tcBorders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5,000 to 9,999</w:t>
            </w:r>
          </w:p>
        </w:tc>
        <w:tc>
          <w:tcPr>
            <w:tcW w:w="1317" w:type="dxa"/>
            <w:tcBorders>
              <w:bottom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bottom w:val="single" w:sz="7" w:space="0" w:color="DADCDD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  <w:tcBorders>
              <w:top w:val="single" w:sz="7" w:space="0" w:color="DADCDD"/>
            </w:tcBorders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14.88</w:t>
            </w:r>
          </w:p>
        </w:tc>
        <w:tc>
          <w:tcPr>
            <w:tcW w:w="1843" w:type="dxa"/>
            <w:tcBorders>
              <w:top w:val="single" w:sz="7" w:space="0" w:color="DADCDD"/>
            </w:tcBorders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12.65</w:t>
            </w:r>
          </w:p>
        </w:tc>
        <w:tc>
          <w:tcPr>
            <w:tcW w:w="1264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2615" w:type="dxa"/>
            <w:gridSpan w:val="2"/>
            <w:tcBorders>
              <w:top w:val="single" w:sz="7" w:space="0" w:color="DADCDD"/>
            </w:tcBorders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10,000 to 24,999</w:t>
            </w:r>
          </w:p>
        </w:tc>
        <w:tc>
          <w:tcPr>
            <w:tcW w:w="1317" w:type="dxa"/>
            <w:tcBorders>
              <w:top w:val="single" w:sz="7" w:space="0" w:color="DADCDD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DADCDD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15.01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12.76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25,000 to 49,999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>
              <w:pStyle w:val="TableParagraph"/>
              <w:spacing w:before="12"/>
              <w:ind w:left="0" w:right="30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15.06</w:t>
            </w:r>
          </w:p>
        </w:tc>
        <w:tc>
          <w:tcPr>
            <w:tcW w:w="1843" w:type="dxa"/>
          </w:tcPr>
          <w:p>
            <w:pPr>
              <w:pStyle w:val="TableParagraph"/>
              <w:spacing w:before="12"/>
              <w:ind w:left="0" w:right="29"/>
              <w:jc w:val="right"/>
              <w:rPr>
                <w:sz w:val="23"/>
              </w:rPr>
            </w:pPr>
            <w:r>
              <w:rPr>
                <w:w w:val="95"/>
                <w:sz w:val="23"/>
              </w:rPr>
              <w:t>12.80</w:t>
            </w:r>
          </w:p>
        </w:tc>
        <w:tc>
          <w:tcPr>
            <w:tcW w:w="1264" w:type="dxa"/>
          </w:tcPr>
          <w:p>
            <w:pPr/>
          </w:p>
        </w:tc>
        <w:tc>
          <w:tcPr>
            <w:tcW w:w="2615" w:type="dxa"/>
            <w:gridSpan w:val="2"/>
          </w:tcPr>
          <w:p>
            <w:pPr>
              <w:pStyle w:val="TableParagraph"/>
              <w:spacing w:before="12"/>
              <w:ind w:left="34"/>
              <w:rPr>
                <w:sz w:val="23"/>
              </w:rPr>
            </w:pPr>
            <w:r>
              <w:rPr>
                <w:sz w:val="23"/>
              </w:rPr>
              <w:t>50,000 and Over</w:t>
            </w:r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</w:tcPr>
          <w:p>
            <w:pPr/>
          </w:p>
        </w:tc>
        <w:tc>
          <w:tcPr>
            <w:tcW w:w="1843" w:type="dxa"/>
          </w:tcPr>
          <w:p>
            <w:pPr/>
          </w:p>
        </w:tc>
        <w:tc>
          <w:tcPr>
            <w:tcW w:w="1264" w:type="dxa"/>
          </w:tcPr>
          <w:p>
            <w:pPr/>
          </w:p>
        </w:tc>
        <w:tc>
          <w:tcPr>
            <w:tcW w:w="1281" w:type="dxa"/>
          </w:tcPr>
          <w:p>
            <w:pPr/>
          </w:p>
        </w:tc>
        <w:tc>
          <w:tcPr>
            <w:tcW w:w="1334" w:type="dxa"/>
          </w:tcPr>
          <w:p>
            <w:pPr/>
          </w:p>
        </w:tc>
        <w:tc>
          <w:tcPr>
            <w:tcW w:w="1317" w:type="dxa"/>
          </w:tcPr>
          <w:p>
            <w:pPr/>
          </w:p>
        </w:tc>
        <w:tc>
          <w:tcPr>
            <w:tcW w:w="1351" w:type="dxa"/>
          </w:tcPr>
          <w:p>
            <w:pPr/>
          </w:p>
        </w:tc>
      </w:tr>
      <w:tr>
        <w:trPr>
          <w:trHeight w:val="298" w:hRule="exact"/>
        </w:trPr>
        <w:tc>
          <w:tcPr>
            <w:tcW w:w="5195" w:type="dxa"/>
            <w:gridSpan w:val="2"/>
            <w:tcBorders>
              <w:bottom w:val="single" w:sz="7" w:space="0" w:color="000000"/>
            </w:tcBorders>
          </w:tcPr>
          <w:p>
            <w:pPr>
              <w:pStyle w:val="TableParagraph"/>
              <w:spacing w:before="12"/>
              <w:ind w:left="35"/>
              <w:rPr>
                <w:sz w:val="23"/>
              </w:rPr>
            </w:pPr>
            <w:r>
              <w:rPr>
                <w:sz w:val="23"/>
              </w:rPr>
              <w:t>7672:522.1 = 14.69 = within acceptable range</w:t>
            </w:r>
          </w:p>
        </w:tc>
        <w:tc>
          <w:tcPr>
            <w:tcW w:w="1264" w:type="dxa"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bottom w:val="single" w:sz="7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  <w:tr>
        <w:trPr>
          <w:trHeight w:val="298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  <w:tr>
        <w:trPr>
          <w:trHeight w:val="299" w:hRule="exact"/>
        </w:trPr>
        <w:tc>
          <w:tcPr>
            <w:tcW w:w="335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843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6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28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34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17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  <w:tc>
          <w:tcPr>
            <w:tcW w:w="1351" w:type="dxa"/>
            <w:tcBorders>
              <w:top w:val="single" w:sz="7" w:space="0" w:color="000000"/>
              <w:bottom w:val="single" w:sz="7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840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7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400" w:type="dxa"/>
        <w:tblBorders>
          <w:top w:val="single" w:sz="8" w:space="0" w:color="DADCDD"/>
          <w:left w:val="single" w:sz="8" w:space="0" w:color="DADCDD"/>
          <w:bottom w:val="single" w:sz="8" w:space="0" w:color="DADCDD"/>
          <w:right w:val="single" w:sz="8" w:space="0" w:color="DADCDD"/>
          <w:insideH w:val="single" w:sz="8" w:space="0" w:color="DADCDD"/>
          <w:insideV w:val="single" w:sz="8" w:space="0" w:color="DADCD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70"/>
        <w:gridCol w:w="2127"/>
        <w:gridCol w:w="1458"/>
        <w:gridCol w:w="1479"/>
        <w:gridCol w:w="1540"/>
        <w:gridCol w:w="1519"/>
      </w:tblGrid>
      <w:tr>
        <w:trPr>
          <w:trHeight w:val="344" w:hRule="exact"/>
        </w:trPr>
        <w:tc>
          <w:tcPr>
            <w:tcW w:w="5997" w:type="dxa"/>
            <w:gridSpan w:val="2"/>
          </w:tcPr>
          <w:p>
            <w:pPr>
              <w:pStyle w:val="TableParagraph"/>
              <w:spacing w:before="19"/>
              <w:ind w:left="40"/>
              <w:rPr>
                <w:b/>
                <w:sz w:val="26"/>
              </w:rPr>
            </w:pPr>
            <w:r>
              <w:rPr>
                <w:b/>
                <w:sz w:val="26"/>
              </w:rPr>
              <w:t>CARROLL  INDEPENDENT  SCHOOL DISTRICT</w:t>
            </w:r>
          </w:p>
        </w:tc>
        <w:tc>
          <w:tcPr>
            <w:tcW w:w="1458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4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</w:tr>
      <w:tr>
        <w:trPr>
          <w:trHeight w:val="345" w:hRule="exact"/>
        </w:trPr>
        <w:tc>
          <w:tcPr>
            <w:tcW w:w="3870" w:type="dxa"/>
            <w:tcBorders>
              <w:right w:val="single" w:sz="8" w:space="0" w:color="DADCDD"/>
            </w:tcBorders>
          </w:tcPr>
          <w:p>
            <w:pPr>
              <w:pStyle w:val="TableParagraph"/>
              <w:spacing w:before="19"/>
              <w:ind w:left="40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2011 </w:t>
            </w:r>
            <w:r>
              <w:rPr>
                <w:b/>
                <w:spacing w:val="-4"/>
                <w:sz w:val="26"/>
              </w:rPr>
              <w:t>SCHOOL  </w:t>
            </w:r>
            <w:r>
              <w:rPr>
                <w:b/>
                <w:sz w:val="26"/>
              </w:rPr>
              <w:t>FIRST </w:t>
            </w:r>
            <w:r>
              <w:rPr>
                <w:b/>
                <w:spacing w:val="-6"/>
                <w:sz w:val="26"/>
              </w:rPr>
              <w:t>REPORT</w:t>
            </w:r>
          </w:p>
        </w:tc>
        <w:tc>
          <w:tcPr>
            <w:tcW w:w="2127" w:type="dxa"/>
            <w:tcBorders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4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  <w:tcBorders>
              <w:right w:val="single" w:sz="8" w:space="0" w:color="DADCDD"/>
            </w:tcBorders>
          </w:tcPr>
          <w:p>
            <w:pPr/>
          </w:p>
        </w:tc>
        <w:tc>
          <w:tcPr>
            <w:tcW w:w="2127" w:type="dxa"/>
            <w:tcBorders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4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  <w:tcBorders>
              <w:right w:val="single" w:sz="8" w:space="0" w:color="DADCDD"/>
            </w:tcBorders>
          </w:tcPr>
          <w:p>
            <w:pPr/>
          </w:p>
        </w:tc>
        <w:tc>
          <w:tcPr>
            <w:tcW w:w="2127" w:type="dxa"/>
            <w:tcBorders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4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</w:tr>
      <w:tr>
        <w:trPr>
          <w:trHeight w:val="345" w:hRule="exact"/>
        </w:trPr>
        <w:tc>
          <w:tcPr>
            <w:tcW w:w="10475" w:type="dxa"/>
            <w:gridSpan w:val="5"/>
            <w:tcBorders>
              <w:bottom w:val="single" w:sz="8" w:space="0" w:color="DADCDD"/>
            </w:tcBorders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z w:val="26"/>
              </w:rPr>
              <w:t>4) How many superintendents has  your school district had in the last    five years?</w:t>
            </w:r>
          </w:p>
        </w:tc>
        <w:tc>
          <w:tcPr>
            <w:tcW w:w="151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z w:val="26"/>
              </w:rPr>
              <w:t>One</w:t>
            </w:r>
          </w:p>
        </w:tc>
      </w:tr>
      <w:tr>
        <w:trPr>
          <w:trHeight w:val="345" w:hRule="exact"/>
        </w:trPr>
        <w:tc>
          <w:tcPr>
            <w:tcW w:w="3870" w:type="dxa"/>
            <w:tcBorders>
              <w:top w:val="single" w:sz="8" w:space="0" w:color="DADCDD"/>
              <w:right w:val="single" w:sz="8" w:space="0" w:color="DADCDD"/>
            </w:tcBorders>
          </w:tcPr>
          <w:p>
            <w:pPr/>
          </w:p>
        </w:tc>
        <w:tc>
          <w:tcPr>
            <w:tcW w:w="2127" w:type="dxa"/>
            <w:tcBorders>
              <w:top w:val="single" w:sz="8" w:space="0" w:color="DADCDD"/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479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40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19" w:type="dxa"/>
            <w:tcBorders>
              <w:top w:val="single" w:sz="8" w:space="0" w:color="000000"/>
            </w:tcBorders>
          </w:tcPr>
          <w:p>
            <w:pPr/>
          </w:p>
        </w:tc>
      </w:tr>
      <w:tr>
        <w:trPr>
          <w:trHeight w:val="344" w:hRule="exact"/>
        </w:trPr>
        <w:tc>
          <w:tcPr>
            <w:tcW w:w="3870" w:type="dxa"/>
            <w:tcBorders>
              <w:right w:val="single" w:sz="8" w:space="0" w:color="DADCDD"/>
            </w:tcBorders>
          </w:tcPr>
          <w:p>
            <w:pPr/>
          </w:p>
        </w:tc>
        <w:tc>
          <w:tcPr>
            <w:tcW w:w="2127" w:type="dxa"/>
            <w:tcBorders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</w:tcPr>
          <w:p>
            <w:pPr/>
          </w:p>
        </w:tc>
        <w:tc>
          <w:tcPr>
            <w:tcW w:w="1479" w:type="dxa"/>
          </w:tcPr>
          <w:p>
            <w:pPr/>
          </w:p>
        </w:tc>
        <w:tc>
          <w:tcPr>
            <w:tcW w:w="1540" w:type="dxa"/>
          </w:tcPr>
          <w:p>
            <w:pPr/>
          </w:p>
        </w:tc>
        <w:tc>
          <w:tcPr>
            <w:tcW w:w="1519" w:type="dxa"/>
          </w:tcPr>
          <w:p>
            <w:pPr/>
          </w:p>
        </w:tc>
      </w:tr>
      <w:tr>
        <w:trPr>
          <w:trHeight w:val="345" w:hRule="exact"/>
        </w:trPr>
        <w:tc>
          <w:tcPr>
            <w:tcW w:w="10475" w:type="dxa"/>
            <w:gridSpan w:val="5"/>
            <w:tcBorders>
              <w:bottom w:val="single" w:sz="8" w:space="0" w:color="DADCDD"/>
            </w:tcBorders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pacing w:val="-3"/>
                <w:sz w:val="26"/>
              </w:rPr>
              <w:t>5) </w:t>
            </w:r>
            <w:r>
              <w:rPr>
                <w:spacing w:val="-6"/>
                <w:sz w:val="26"/>
              </w:rPr>
              <w:t>How </w:t>
            </w:r>
            <w:r>
              <w:rPr>
                <w:spacing w:val="-3"/>
                <w:sz w:val="26"/>
              </w:rPr>
              <w:t>many </w:t>
            </w:r>
            <w:r>
              <w:rPr>
                <w:sz w:val="26"/>
              </w:rPr>
              <w:t>business </w:t>
            </w:r>
            <w:r>
              <w:rPr>
                <w:spacing w:val="-5"/>
                <w:sz w:val="26"/>
              </w:rPr>
              <w:t>managers  </w:t>
            </w:r>
            <w:r>
              <w:rPr>
                <w:spacing w:val="-4"/>
                <w:sz w:val="26"/>
              </w:rPr>
              <w:t>has  </w:t>
            </w:r>
            <w:r>
              <w:rPr>
                <w:sz w:val="26"/>
              </w:rPr>
              <w:t>your school district </w:t>
            </w:r>
            <w:r>
              <w:rPr>
                <w:spacing w:val="-4"/>
                <w:sz w:val="26"/>
              </w:rPr>
              <w:t>had </w:t>
            </w:r>
            <w:r>
              <w:rPr>
                <w:sz w:val="26"/>
              </w:rPr>
              <w:t>in the last </w:t>
            </w:r>
            <w:r>
              <w:rPr>
                <w:spacing w:val="-11"/>
                <w:sz w:val="26"/>
              </w:rPr>
              <w:t>five  </w:t>
            </w:r>
            <w:r>
              <w:rPr>
                <w:spacing w:val="48"/>
                <w:sz w:val="26"/>
              </w:rPr>
              <w:t> </w:t>
            </w:r>
            <w:r>
              <w:rPr>
                <w:sz w:val="26"/>
              </w:rPr>
              <w:t>years?</w:t>
            </w:r>
          </w:p>
        </w:tc>
        <w:tc>
          <w:tcPr>
            <w:tcW w:w="151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20"/>
              <w:ind w:left="40"/>
              <w:rPr>
                <w:sz w:val="26"/>
              </w:rPr>
            </w:pPr>
            <w:r>
              <w:rPr>
                <w:sz w:val="26"/>
              </w:rPr>
              <w:t>Two</w:t>
            </w:r>
          </w:p>
        </w:tc>
      </w:tr>
      <w:tr>
        <w:trPr>
          <w:trHeight w:val="345" w:hRule="exact"/>
        </w:trPr>
        <w:tc>
          <w:tcPr>
            <w:tcW w:w="3870" w:type="dxa"/>
            <w:tcBorders>
              <w:top w:val="single" w:sz="8" w:space="0" w:color="DADCDD"/>
              <w:right w:val="single" w:sz="8" w:space="0" w:color="DADCDD"/>
            </w:tcBorders>
          </w:tcPr>
          <w:p>
            <w:pPr/>
          </w:p>
        </w:tc>
        <w:tc>
          <w:tcPr>
            <w:tcW w:w="2127" w:type="dxa"/>
            <w:tcBorders>
              <w:top w:val="single" w:sz="8" w:space="0" w:color="DADCDD"/>
              <w:left w:val="single" w:sz="8" w:space="0" w:color="DADCDD"/>
            </w:tcBorders>
          </w:tcPr>
          <w:p>
            <w:pPr/>
          </w:p>
        </w:tc>
        <w:tc>
          <w:tcPr>
            <w:tcW w:w="1458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479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40" w:type="dxa"/>
            <w:tcBorders>
              <w:top w:val="single" w:sz="8" w:space="0" w:color="DADCDD"/>
            </w:tcBorders>
          </w:tcPr>
          <w:p>
            <w:pPr/>
          </w:p>
        </w:tc>
        <w:tc>
          <w:tcPr>
            <w:tcW w:w="1519" w:type="dxa"/>
            <w:tcBorders>
              <w:top w:val="single" w:sz="8" w:space="0" w:color="000000"/>
            </w:tcBorders>
          </w:tcPr>
          <w:p>
            <w:pPr/>
          </w:p>
        </w:tc>
      </w:tr>
    </w:tbl>
    <w:p>
      <w:pPr>
        <w:spacing w:after="0"/>
        <w:sectPr>
          <w:pgSz w:w="14400" w:h="10800" w:orient="landscape"/>
          <w:pgMar w:header="371" w:footer="0" w:top="2080" w:bottom="280" w:left="800" w:right="800"/>
        </w:sectPr>
      </w:pPr>
    </w:p>
    <w:p>
      <w:pPr>
        <w:pStyle w:val="BodyText"/>
        <w:rPr>
          <w:rFonts w:ascii="Times New Roman"/>
          <w:b w:val="0"/>
          <w:sz w:val="20"/>
        </w:rPr>
      </w:pPr>
      <w:r>
        <w:rPr/>
        <w:drawing>
          <wp:anchor distT="0" distB="0" distL="0" distR="0" allowOverlap="1" layoutInCell="1" locked="0" behindDoc="0" simplePos="0" relativeHeight="1864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69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Times New Roman"/>
          <w:b w:val="0"/>
          <w:sz w:val="19"/>
        </w:rPr>
      </w:pPr>
    </w:p>
    <w:p>
      <w:pPr>
        <w:spacing w:line="249" w:lineRule="auto" w:before="79"/>
        <w:ind w:left="382" w:right="0" w:firstLine="121"/>
        <w:jc w:val="left"/>
        <w:rPr>
          <w:sz w:val="64"/>
        </w:rPr>
      </w:pPr>
      <w:r>
        <w:rPr>
          <w:sz w:val="64"/>
        </w:rPr>
        <w:t>A copy of the Superintendent’s contract is available online at the Carroll ISD Webpage:</w:t>
      </w:r>
    </w:p>
    <w:p>
      <w:pPr>
        <w:spacing w:line="240" w:lineRule="auto" w:before="11"/>
        <w:rPr>
          <w:sz w:val="89"/>
        </w:rPr>
      </w:pPr>
    </w:p>
    <w:p>
      <w:pPr>
        <w:spacing w:before="0"/>
        <w:ind w:left="287" w:right="0" w:firstLine="0"/>
        <w:jc w:val="left"/>
        <w:rPr>
          <w:sz w:val="48"/>
        </w:rPr>
      </w:pPr>
      <w:r>
        <w:rPr>
          <w:sz w:val="48"/>
        </w:rPr>
        <w:t>(Visit the Superintendent’s webpage under </w:t>
      </w:r>
      <w:r>
        <w:rPr>
          <w:i/>
          <w:sz w:val="48"/>
        </w:rPr>
        <w:t>Departments</w:t>
      </w:r>
      <w:r>
        <w:rPr>
          <w:sz w:val="48"/>
        </w:rPr>
        <w:t>.)</w:t>
      </w:r>
    </w:p>
    <w:p>
      <w:pPr>
        <w:spacing w:line="240" w:lineRule="auto" w:before="0"/>
        <w:rPr>
          <w:sz w:val="54"/>
        </w:rPr>
      </w:pPr>
    </w:p>
    <w:p>
      <w:pPr>
        <w:spacing w:line="249" w:lineRule="auto" w:before="484"/>
        <w:ind w:left="3792" w:right="0" w:hanging="2597"/>
        <w:jc w:val="left"/>
        <w:rPr>
          <w:sz w:val="64"/>
        </w:rPr>
      </w:pPr>
      <w:hyperlink r:id="rId8">
        <w:r>
          <w:rPr>
            <w:sz w:val="64"/>
          </w:rPr>
          <w:t>http://www.southlakecarroll.edu/cisd-</w:t>
        </w:r>
      </w:hyperlink>
      <w:r>
        <w:rPr>
          <w:sz w:val="64"/>
        </w:rPr>
        <w:t> superintendent.aspx</w:t>
      </w:r>
    </w:p>
    <w:p>
      <w:pPr>
        <w:spacing w:after="0" w:line="249" w:lineRule="auto"/>
        <w:jc w:val="left"/>
        <w:rPr>
          <w:sz w:val="64"/>
        </w:rPr>
        <w:sectPr>
          <w:pgSz w:w="14400" w:h="10800" w:orient="landscape"/>
          <w:pgMar w:header="371" w:footer="0" w:top="2080" w:bottom="280" w:left="800" w:right="540"/>
        </w:sectPr>
      </w:pPr>
    </w:p>
    <w:p>
      <w:pPr>
        <w:spacing w:line="240" w:lineRule="auto" w:before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888">
            <wp:simplePos x="0" y="0"/>
            <wp:positionH relativeFrom="page">
              <wp:posOffset>914400</wp:posOffset>
            </wp:positionH>
            <wp:positionV relativeFrom="page">
              <wp:posOffset>304800</wp:posOffset>
            </wp:positionV>
            <wp:extent cx="1666875" cy="638175"/>
            <wp:effectExtent l="0" t="0" r="0" b="0"/>
            <wp:wrapNone/>
            <wp:docPr id="71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300" w:lineRule="auto" w:before="222"/>
        <w:ind w:left="2594" w:right="2592" w:firstLine="0"/>
        <w:jc w:val="center"/>
        <w:rPr>
          <w:sz w:val="64"/>
        </w:rPr>
      </w:pPr>
      <w:r>
        <w:rPr>
          <w:sz w:val="64"/>
        </w:rPr>
        <w:t>Questions and Comments:</w:t>
      </w:r>
      <w:r>
        <w:rPr>
          <w:w w:val="99"/>
          <w:sz w:val="64"/>
        </w:rPr>
        <w:t> </w:t>
      </w:r>
      <w:r>
        <w:rPr>
          <w:sz w:val="64"/>
        </w:rPr>
        <w:t>Please contact</w:t>
      </w:r>
    </w:p>
    <w:p>
      <w:pPr>
        <w:spacing w:before="6"/>
        <w:ind w:left="547" w:right="548" w:firstLine="0"/>
        <w:jc w:val="center"/>
        <w:rPr>
          <w:sz w:val="64"/>
        </w:rPr>
      </w:pPr>
      <w:r>
        <w:rPr>
          <w:sz w:val="64"/>
        </w:rPr>
        <w:t>Robb Welch, CISD Financial Services</w:t>
      </w:r>
    </w:p>
    <w:p>
      <w:pPr>
        <w:spacing w:before="185"/>
        <w:ind w:left="547" w:right="547" w:firstLine="0"/>
        <w:jc w:val="center"/>
        <w:rPr>
          <w:sz w:val="64"/>
        </w:rPr>
      </w:pPr>
      <w:hyperlink r:id="rId9">
        <w:r>
          <w:rPr>
            <w:sz w:val="64"/>
          </w:rPr>
          <w:t>robb.welch@southlakecarroll.edu</w:t>
        </w:r>
      </w:hyperlink>
    </w:p>
    <w:sectPr>
      <w:pgSz w:w="14400" w:h="10800" w:orient="landscape"/>
      <w:pgMar w:header="371" w:footer="0" w:top="2420" w:bottom="280" w:left="800" w:right="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  <w:sz w:val="20"/>
      </w:rPr>
    </w:pPr>
    <w:r>
      <w:rPr/>
      <w:pict>
        <v:group style="position:absolute;margin-left:45.75pt;margin-top:18.540001pt;width:628.5pt;height:102.6pt;mso-position-horizontal-relative:page;mso-position-vertical-relative:page;z-index:-89536" coordorigin="915,371" coordsize="12570,2052">
          <v:shape style="position:absolute;left:10320;top:371;width:2160;height:2052" type="#_x0000_t75" stroked="false">
            <v:imagedata r:id="rId1" o:title=""/>
          </v:shape>
          <v:line style="position:absolute" from="960,2280" to="13440,2280" stroked="true" strokeweight="4.5pt" strokecolor="#009900">
            <v:stroke dashstyle="solid"/>
          </v:line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199997pt;margin-top:28.990156pt;width:401.3pt;height:76.05pt;mso-position-horizontal-relative:page;mso-position-vertical-relative:page;z-index:-89512" type="#_x0000_t202" filled="false" stroked="false">
          <v:textbox inset="0,0,0,0">
            <w:txbxContent>
              <w:p>
                <w:pPr>
                  <w:spacing w:line="824" w:lineRule="exact" w:before="0"/>
                  <w:ind w:left="3260" w:right="0" w:firstLine="0"/>
                  <w:jc w:val="left"/>
                  <w:rPr>
                    <w:b/>
                    <w:sz w:val="72"/>
                  </w:rPr>
                </w:pPr>
                <w:r>
                  <w:rPr>
                    <w:b/>
                    <w:sz w:val="72"/>
                  </w:rPr>
                  <w:t>School FIRST</w:t>
                </w:r>
              </w:p>
              <w:p>
                <w:pPr>
                  <w:spacing w:before="124"/>
                  <w:ind w:left="20" w:right="0" w:firstLine="0"/>
                  <w:jc w:val="left"/>
                  <w:rPr>
                    <w:b/>
                    <w:sz w:val="48"/>
                  </w:rPr>
                </w:pPr>
                <w:r>
                  <w:rPr>
                    <w:b/>
                    <w:sz w:val="48"/>
                  </w:rPr>
                  <w:t>Financial Integrity System of </w:t>
                </w:r>
                <w:r>
                  <w:rPr>
                    <w:b/>
                    <w:spacing w:val="-8"/>
                    <w:sz w:val="48"/>
                  </w:rPr>
                  <w:t>Texas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544" w:hanging="1440"/>
        <w:jc w:val="right"/>
      </w:pPr>
      <w:rPr>
        <w:rFonts w:hint="default"/>
        <w:b/>
        <w:bCs/>
        <w:spacing w:val="-1"/>
        <w:w w:val="99"/>
      </w:rPr>
    </w:lvl>
    <w:lvl w:ilvl="1">
      <w:start w:val="0"/>
      <w:numFmt w:val="bullet"/>
      <w:lvlText w:val="•"/>
      <w:lvlJc w:val="left"/>
      <w:pPr>
        <w:ind w:left="2670" w:hanging="14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00" w:hanging="14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930" w:hanging="14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60" w:hanging="14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190" w:hanging="14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0" w:hanging="14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50" w:hanging="14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8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64"/>
      <w:szCs w:val="64"/>
    </w:rPr>
  </w:style>
  <w:style w:styleId="ListParagraph" w:type="paragraph">
    <w:name w:val="List Paragraph"/>
    <w:basedOn w:val="Normal"/>
    <w:uiPriority w:val="1"/>
    <w:qFormat/>
    <w:pPr>
      <w:spacing w:before="78"/>
      <w:ind w:left="1064" w:right="114" w:hanging="960"/>
    </w:pPr>
    <w:rPr>
      <w:rFonts w:ascii="Arial" w:hAnsi="Arial" w:eastAsia="Arial" w:cs="Arial"/>
    </w:rPr>
  </w:style>
  <w:style w:styleId="TableParagraph" w:type="paragraph">
    <w:name w:val="Table Paragraph"/>
    <w:basedOn w:val="Normal"/>
    <w:uiPriority w:val="1"/>
    <w:qFormat/>
    <w:pPr>
      <w:spacing w:before="14"/>
      <w:ind w:left="31"/>
    </w:pPr>
    <w:rPr>
      <w:rFonts w:ascii="Arial" w:hAnsi="Arial" w:eastAsia="Arial" w:cs="Arial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hyperlink" Target="http://tuna.tea.state.tx.us/first/Forms/Main.aspx" TargetMode="External"/><Relationship Id="rId8" Type="http://schemas.openxmlformats.org/officeDocument/2006/relationships/hyperlink" Target="http://www.southlakecarroll.edu/cisd-" TargetMode="External"/><Relationship Id="rId9" Type="http://schemas.openxmlformats.org/officeDocument/2006/relationships/hyperlink" Target="mailto:robb.welch@southlakecarroll.edu" TargetMode="External"/><Relationship Id="rId10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 Welch</dc:creator>
  <dc:title>Slide 1</dc:title>
  <dcterms:created xsi:type="dcterms:W3CDTF">2018-02-02T15:19:54Z</dcterms:created>
  <dcterms:modified xsi:type="dcterms:W3CDTF">2018-02-02T15:19:54Z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2014-07-23T00:00:00Z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2018-02-02T00:00:00Z</vt:filetime>
  </property>
</Properties>
</file>