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drawing>
          <wp:anchor distT="0" distB="0" distL="0" distR="0" allowOverlap="1" layoutInCell="1" locked="0" behindDoc="1" simplePos="0" relativeHeight="268378175">
            <wp:simplePos x="0" y="0"/>
            <wp:positionH relativeFrom="page">
              <wp:posOffset>914400</wp:posOffset>
            </wp:positionH>
            <wp:positionV relativeFrom="page">
              <wp:posOffset>304800</wp:posOffset>
            </wp:positionV>
            <wp:extent cx="1667255" cy="638555"/>
            <wp:effectExtent l="0" t="0" r="0" b="0"/>
            <wp:wrapNone/>
            <wp:docPr id="1" name="image2.jpeg" descr=""/>
            <wp:cNvGraphicFramePr>
              <a:graphicFrameLocks noChangeAspect="1"/>
            </wp:cNvGraphicFramePr>
            <a:graphic>
              <a:graphicData uri="http://schemas.openxmlformats.org/drawingml/2006/picture">
                <pic:pic>
                  <pic:nvPicPr>
                    <pic:cNvPr id="2"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spacing w:before="5"/>
        <w:rPr>
          <w:rFonts w:ascii="Times New Roman"/>
          <w:sz w:val="20"/>
        </w:rPr>
      </w:pPr>
    </w:p>
    <w:p>
      <w:pPr>
        <w:spacing w:line="240" w:lineRule="auto"/>
        <w:ind w:left="272" w:right="0" w:firstLine="0"/>
        <w:rPr>
          <w:rFonts w:ascii="Times New Roman"/>
          <w:sz w:val="20"/>
        </w:rPr>
      </w:pPr>
      <w:r>
        <w:rPr>
          <w:rFonts w:ascii="Times New Roman"/>
          <w:spacing w:val="-49"/>
          <w:sz w:val="20"/>
        </w:rPr>
        <w:t> </w:t>
      </w:r>
      <w:r>
        <w:rPr>
          <w:rFonts w:ascii="Times New Roman"/>
          <w:spacing w:val="-49"/>
          <w:sz w:val="20"/>
        </w:rPr>
        <w:pict>
          <v:shape style="width:612pt;height:168.25pt;mso-position-horizontal-relative:char;mso-position-vertical-relative:line" type="#_x0000_t202" filled="false" stroked="true" strokeweight=".72pt" strokecolor="#000000">
            <w10:anchorlock/>
            <v:textbox inset="0,0,0,0">
              <w:txbxContent>
                <w:p>
                  <w:pPr>
                    <w:spacing w:line="249" w:lineRule="auto" w:before="96"/>
                    <w:ind w:left="1507" w:right="475" w:firstLine="2453"/>
                    <w:jc w:val="left"/>
                    <w:rPr>
                      <w:sz w:val="88"/>
                    </w:rPr>
                  </w:pPr>
                  <w:bookmarkStart w:name="Carroll ISD Financial Accountability Rat" w:id="1"/>
                  <w:bookmarkEnd w:id="1"/>
                  <w:r>
                    <w:rPr/>
                  </w:r>
                  <w:r>
                    <w:rPr>
                      <w:sz w:val="88"/>
                    </w:rPr>
                    <w:t>Carroll ISD Financial Accountability</w:t>
                  </w:r>
                </w:p>
                <w:p>
                  <w:pPr>
                    <w:spacing w:before="5"/>
                    <w:ind w:left="2242" w:right="0" w:firstLine="0"/>
                    <w:jc w:val="left"/>
                    <w:rPr>
                      <w:sz w:val="88"/>
                    </w:rPr>
                  </w:pPr>
                  <w:r>
                    <w:rPr>
                      <w:sz w:val="88"/>
                    </w:rPr>
                    <w:t>Rating Presentation</w:t>
                  </w:r>
                </w:p>
              </w:txbxContent>
            </v:textbox>
            <v:stroke dashstyle="solid"/>
          </v:shape>
        </w:pict>
      </w:r>
      <w:r>
        <w:rPr>
          <w:rFonts w:ascii="Times New Roman"/>
          <w:spacing w:val="-49"/>
          <w:sz w:val="20"/>
        </w:rPr>
      </w:r>
    </w:p>
    <w:p>
      <w:pPr>
        <w:pStyle w:val="BodyText"/>
        <w:spacing w:before="8"/>
        <w:rPr>
          <w:rFonts w:ascii="Times New Roman"/>
          <w:sz w:val="18"/>
        </w:rPr>
      </w:pPr>
    </w:p>
    <w:p>
      <w:pPr>
        <w:pStyle w:val="Heading1"/>
        <w:spacing w:line="300" w:lineRule="auto"/>
        <w:ind w:left="3770" w:right="1368" w:firstLine="532"/>
      </w:pPr>
      <w:r>
        <w:rPr/>
        <w:t>Public Meeting December 4, 2017</w:t>
      </w:r>
    </w:p>
    <w:p>
      <w:pPr>
        <w:spacing w:after="0" w:line="300" w:lineRule="auto"/>
        <w:sectPr>
          <w:headerReference w:type="default" r:id="rId5"/>
          <w:type w:val="continuous"/>
          <w:pgSz w:w="14400" w:h="10800" w:orient="landscape"/>
          <w:pgMar w:header="371" w:top="2420" w:bottom="280" w:left="800" w:right="800"/>
        </w:sectPr>
      </w:pPr>
    </w:p>
    <w:p>
      <w:pPr>
        <w:pStyle w:val="BodyText"/>
        <w:spacing w:before="10"/>
        <w:rPr>
          <w:sz w:val="19"/>
        </w:rPr>
      </w:pPr>
      <w:r>
        <w:rPr/>
        <w:drawing>
          <wp:anchor distT="0" distB="0" distL="0" distR="0" allowOverlap="1" layoutInCell="1" locked="0" behindDoc="0" simplePos="0" relativeHeight="1072">
            <wp:simplePos x="0" y="0"/>
            <wp:positionH relativeFrom="page">
              <wp:posOffset>914400</wp:posOffset>
            </wp:positionH>
            <wp:positionV relativeFrom="page">
              <wp:posOffset>304800</wp:posOffset>
            </wp:positionV>
            <wp:extent cx="1667255" cy="638555"/>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Heading2"/>
        <w:spacing w:before="81"/>
        <w:ind w:left="3314"/>
      </w:pPr>
      <w:bookmarkStart w:name="Slide Number 2" w:id="2"/>
      <w:bookmarkEnd w:id="2"/>
      <w:r>
        <w:rPr/>
      </w:r>
      <w:r>
        <w:rPr>
          <w:u w:val="thick"/>
        </w:rPr>
        <w:t>Financial Rating System</w:t>
      </w:r>
    </w:p>
    <w:p>
      <w:pPr>
        <w:pStyle w:val="BodyText"/>
        <w:rPr>
          <w:sz w:val="20"/>
        </w:rPr>
      </w:pPr>
    </w:p>
    <w:p>
      <w:pPr>
        <w:pStyle w:val="BodyText"/>
        <w:rPr>
          <w:sz w:val="20"/>
        </w:rPr>
      </w:pPr>
    </w:p>
    <w:p>
      <w:pPr>
        <w:pStyle w:val="BodyText"/>
        <w:rPr>
          <w:sz w:val="20"/>
        </w:rPr>
      </w:pPr>
    </w:p>
    <w:p>
      <w:pPr>
        <w:pStyle w:val="BodyText"/>
        <w:spacing w:before="2"/>
        <w:rPr>
          <w:sz w:val="17"/>
        </w:rPr>
      </w:pPr>
    </w:p>
    <w:p>
      <w:pPr>
        <w:spacing w:before="81"/>
        <w:ind w:left="868" w:right="1187" w:firstLine="0"/>
        <w:jc w:val="center"/>
        <w:rPr>
          <w:sz w:val="56"/>
        </w:rPr>
      </w:pPr>
      <w:r>
        <w:rPr>
          <w:sz w:val="56"/>
        </w:rPr>
        <w:t>Based on 2015-2016 Data</w:t>
      </w:r>
    </w:p>
    <w:p>
      <w:pPr>
        <w:pStyle w:val="BodyText"/>
        <w:spacing w:before="107"/>
        <w:ind w:left="867" w:right="1187"/>
        <w:jc w:val="center"/>
      </w:pPr>
      <w:r>
        <w:rPr/>
        <w:t>Critical Indicators 1, 3, 4, 5 and 2.A (Yes=Pass / No=Fail Format)</w:t>
      </w:r>
    </w:p>
    <w:p>
      <w:pPr>
        <w:pStyle w:val="BodyText"/>
        <w:rPr>
          <w:sz w:val="50"/>
        </w:rPr>
      </w:pPr>
    </w:p>
    <w:p>
      <w:pPr>
        <w:pStyle w:val="Heading5"/>
        <w:spacing w:line="300" w:lineRule="auto"/>
        <w:ind w:left="871" w:right="1187"/>
        <w:jc w:val="center"/>
      </w:pPr>
      <w:r>
        <w:rPr/>
        <w:t>Managerial Reports &amp; Summary of Financial Solvency Survey 2015-2016 Report is also available online at:</w:t>
      </w:r>
    </w:p>
    <w:p>
      <w:pPr>
        <w:spacing w:line="152" w:lineRule="exact" w:before="0"/>
        <w:ind w:left="2504" w:right="0" w:firstLine="0"/>
        <w:jc w:val="left"/>
        <w:rPr>
          <w:sz w:val="16"/>
        </w:rPr>
      </w:pPr>
      <w:r>
        <w:rPr>
          <w:sz w:val="16"/>
        </w:rPr>
        <w:t>https://tea.texas.gov/Finance_and_Grants/Financial_Accountability/Financial_Integrity_Rating_System_of_Texas_(FIRST)/</w:t>
      </w:r>
    </w:p>
    <w:p>
      <w:pPr>
        <w:spacing w:before="8"/>
        <w:ind w:left="2504" w:right="0" w:firstLine="0"/>
        <w:jc w:val="left"/>
        <w:rPr>
          <w:sz w:val="16"/>
        </w:rPr>
      </w:pPr>
      <w:hyperlink r:id="rId8">
        <w:r>
          <w:rPr>
            <w:sz w:val="16"/>
          </w:rPr>
          <w:t>Financial_Integrity_Rating_System_of_Texas/</w:t>
        </w:r>
      </w:hyperlink>
    </w:p>
    <w:p>
      <w:pPr>
        <w:pStyle w:val="BodyText"/>
        <w:spacing w:before="5"/>
        <w:rPr>
          <w:sz w:val="14"/>
        </w:rPr>
      </w:pPr>
    </w:p>
    <w:p>
      <w:pPr>
        <w:spacing w:before="0"/>
        <w:ind w:left="871" w:right="921" w:firstLine="0"/>
        <w:jc w:val="center"/>
        <w:rPr>
          <w:sz w:val="32"/>
        </w:rPr>
      </w:pPr>
      <w:r>
        <w:rPr>
          <w:sz w:val="32"/>
        </w:rPr>
        <w:t>(Go to District# 220919)</w:t>
      </w:r>
    </w:p>
    <w:p>
      <w:pPr>
        <w:spacing w:after="0"/>
        <w:jc w:val="center"/>
        <w:rPr>
          <w:sz w:val="32"/>
        </w:rPr>
        <w:sectPr>
          <w:footerReference w:type="default" r:id="rId7"/>
          <w:pgSz w:w="14400" w:h="10800" w:orient="landscape"/>
          <w:pgMar w:footer="770" w:header="371" w:top="2420" w:bottom="960" w:left="800" w:right="600"/>
        </w:sectPr>
      </w:pPr>
    </w:p>
    <w:p>
      <w:pPr>
        <w:pStyle w:val="Heading1"/>
        <w:spacing w:line="692" w:lineRule="exact" w:before="161"/>
      </w:pPr>
      <w:r>
        <w:rPr/>
        <w:drawing>
          <wp:anchor distT="0" distB="0" distL="0" distR="0" allowOverlap="1" layoutInCell="1" locked="0" behindDoc="0" simplePos="0" relativeHeight="1096">
            <wp:simplePos x="0" y="0"/>
            <wp:positionH relativeFrom="page">
              <wp:posOffset>914400</wp:posOffset>
            </wp:positionH>
            <wp:positionV relativeFrom="page">
              <wp:posOffset>304800</wp:posOffset>
            </wp:positionV>
            <wp:extent cx="1667255" cy="638555"/>
            <wp:effectExtent l="0" t="0" r="0" b="0"/>
            <wp:wrapNone/>
            <wp:docPr id="5" name="image2.jpeg" descr=""/>
            <wp:cNvGraphicFramePr>
              <a:graphicFrameLocks noChangeAspect="1"/>
            </wp:cNvGraphicFramePr>
            <a:graphic>
              <a:graphicData uri="http://schemas.openxmlformats.org/drawingml/2006/picture">
                <pic:pic>
                  <pic:nvPicPr>
                    <pic:cNvPr id="6"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3" w:id="3"/>
      <w:bookmarkEnd w:id="3"/>
      <w:r>
        <w:rPr/>
      </w:r>
      <w:r>
        <w:rPr/>
        <w:t>Determine Rating By Applicable Range For The Number Of Total Points &amp; Results of Default Indicators:</w:t>
      </w:r>
    </w:p>
    <w:p>
      <w:pPr>
        <w:pStyle w:val="Heading3"/>
        <w:tabs>
          <w:tab w:pos="8603" w:val="left" w:leader="none"/>
        </w:tabs>
        <w:spacing w:before="610"/>
        <w:ind w:left="1404"/>
      </w:pPr>
      <w:r>
        <w:rPr/>
        <w:t>Superior</w:t>
        <w:tab/>
        <w:t>90-100</w:t>
      </w:r>
      <w:r>
        <w:rPr>
          <w:spacing w:val="-6"/>
        </w:rPr>
        <w:t> </w:t>
      </w:r>
      <w:r>
        <w:rPr/>
        <w:t>points</w:t>
      </w:r>
    </w:p>
    <w:p>
      <w:pPr>
        <w:tabs>
          <w:tab w:pos="8603" w:val="left" w:leader="none"/>
        </w:tabs>
        <w:spacing w:before="81"/>
        <w:ind w:left="1403" w:right="0" w:firstLine="0"/>
        <w:jc w:val="left"/>
        <w:rPr>
          <w:b/>
          <w:sz w:val="48"/>
        </w:rPr>
      </w:pPr>
      <w:r>
        <w:rPr>
          <w:b/>
          <w:sz w:val="48"/>
        </w:rPr>
        <w:t>Above</w:t>
      </w:r>
      <w:r>
        <w:rPr>
          <w:b/>
          <w:spacing w:val="-1"/>
          <w:sz w:val="48"/>
        </w:rPr>
        <w:t> </w:t>
      </w:r>
      <w:r>
        <w:rPr>
          <w:b/>
          <w:sz w:val="48"/>
        </w:rPr>
        <w:t>Standard</w:t>
        <w:tab/>
        <w:t>80-89</w:t>
      </w:r>
      <w:r>
        <w:rPr>
          <w:b/>
          <w:spacing w:val="-4"/>
          <w:sz w:val="48"/>
        </w:rPr>
        <w:t> </w:t>
      </w:r>
      <w:r>
        <w:rPr>
          <w:b/>
          <w:sz w:val="48"/>
        </w:rPr>
        <w:t>points</w:t>
      </w:r>
    </w:p>
    <w:p>
      <w:pPr>
        <w:tabs>
          <w:tab w:pos="8603" w:val="left" w:leader="none"/>
        </w:tabs>
        <w:spacing w:line="276" w:lineRule="auto" w:before="81"/>
        <w:ind w:left="1403" w:right="1930" w:firstLine="0"/>
        <w:jc w:val="left"/>
        <w:rPr>
          <w:b/>
          <w:sz w:val="48"/>
        </w:rPr>
      </w:pPr>
      <w:r>
        <w:rPr>
          <w:b/>
          <w:sz w:val="48"/>
        </w:rPr>
        <w:t>Meets</w:t>
      </w:r>
      <w:r>
        <w:rPr>
          <w:b/>
          <w:spacing w:val="-3"/>
          <w:sz w:val="48"/>
        </w:rPr>
        <w:t> </w:t>
      </w:r>
      <w:r>
        <w:rPr>
          <w:b/>
          <w:sz w:val="48"/>
        </w:rPr>
        <w:t>Standard</w:t>
        <w:tab/>
        <w:t>60-79</w:t>
      </w:r>
      <w:r>
        <w:rPr>
          <w:b/>
          <w:spacing w:val="-4"/>
          <w:sz w:val="48"/>
        </w:rPr>
        <w:t> </w:t>
      </w:r>
      <w:r>
        <w:rPr>
          <w:b/>
          <w:sz w:val="48"/>
        </w:rPr>
        <w:t>points</w:t>
      </w:r>
      <w:r>
        <w:rPr>
          <w:b/>
          <w:w w:val="99"/>
          <w:sz w:val="48"/>
        </w:rPr>
        <w:t> </w:t>
      </w:r>
      <w:r>
        <w:rPr>
          <w:b/>
          <w:sz w:val="48"/>
        </w:rPr>
        <w:t>Substandard</w:t>
      </w:r>
      <w:r>
        <w:rPr>
          <w:b/>
          <w:spacing w:val="-6"/>
          <w:sz w:val="48"/>
        </w:rPr>
        <w:t> </w:t>
      </w:r>
      <w:r>
        <w:rPr>
          <w:b/>
          <w:sz w:val="48"/>
        </w:rPr>
        <w:t>Achievement</w:t>
        <w:tab/>
        <w:t>0-59</w:t>
      </w:r>
      <w:r>
        <w:rPr>
          <w:b/>
          <w:spacing w:val="-5"/>
          <w:sz w:val="48"/>
        </w:rPr>
        <w:t> </w:t>
      </w:r>
      <w:r>
        <w:rPr>
          <w:b/>
          <w:sz w:val="48"/>
        </w:rPr>
        <w:t>points</w:t>
      </w:r>
    </w:p>
    <w:p>
      <w:pPr>
        <w:pStyle w:val="BodyText"/>
        <w:spacing w:line="388" w:lineRule="exact" w:before="431"/>
        <w:ind w:left="628" w:hanging="519"/>
      </w:pPr>
      <w:r>
        <w:rPr/>
        <w:t>The ISD receives an “F” if it scores below the minimum passing score, or if it failed critical indicator 1, 3, 4, 5, or 2.A or if the AFR and data were not complete, or if</w:t>
      </w:r>
    </w:p>
    <w:p>
      <w:pPr>
        <w:pStyle w:val="BodyText"/>
        <w:spacing w:line="387" w:lineRule="exact"/>
        <w:ind w:left="1072"/>
      </w:pPr>
      <w:r>
        <w:rPr/>
        <w:t>either the AFR or the data were not submitted on time for FIRST analysis.</w:t>
      </w:r>
    </w:p>
    <w:p>
      <w:pPr>
        <w:spacing w:after="0" w:line="387" w:lineRule="exact"/>
        <w:sectPr>
          <w:footerReference w:type="default" r:id="rId9"/>
          <w:pgSz w:w="14400" w:h="10800" w:orient="landscape"/>
          <w:pgMar w:footer="398" w:header="371" w:top="2420" w:bottom="580" w:left="660" w:right="400"/>
        </w:sectPr>
      </w:pPr>
    </w:p>
    <w:p>
      <w:pPr>
        <w:pStyle w:val="BodyText"/>
        <w:rPr>
          <w:sz w:val="20"/>
        </w:rPr>
      </w:pPr>
      <w:r>
        <w:rPr/>
        <w:drawing>
          <wp:anchor distT="0" distB="0" distL="0" distR="0" allowOverlap="1" layoutInCell="1" locked="0" behindDoc="0" simplePos="0" relativeHeight="1120">
            <wp:simplePos x="0" y="0"/>
            <wp:positionH relativeFrom="page">
              <wp:posOffset>914400</wp:posOffset>
            </wp:positionH>
            <wp:positionV relativeFrom="page">
              <wp:posOffset>304800</wp:posOffset>
            </wp:positionV>
            <wp:extent cx="1667255" cy="638555"/>
            <wp:effectExtent l="0" t="0" r="0" b="0"/>
            <wp:wrapNone/>
            <wp:docPr id="7" name="image2.jpeg" descr=""/>
            <wp:cNvGraphicFramePr>
              <a:graphicFrameLocks noChangeAspect="1"/>
            </wp:cNvGraphicFramePr>
            <a:graphic>
              <a:graphicData uri="http://schemas.openxmlformats.org/drawingml/2006/picture">
                <pic:pic>
                  <pic:nvPicPr>
                    <pic:cNvPr id="8"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sz w:val="20"/>
        </w:rPr>
      </w:pPr>
    </w:p>
    <w:p>
      <w:pPr>
        <w:pStyle w:val="BodyText"/>
        <w:spacing w:before="10"/>
        <w:rPr>
          <w:sz w:val="21"/>
        </w:rPr>
      </w:pPr>
    </w:p>
    <w:p>
      <w:pPr>
        <w:pStyle w:val="Heading1"/>
        <w:spacing w:line="300" w:lineRule="auto"/>
        <w:ind w:left="2870" w:right="2576" w:firstLine="638"/>
      </w:pPr>
      <w:bookmarkStart w:name="Slide Number 4" w:id="4"/>
      <w:bookmarkEnd w:id="4"/>
      <w:r>
        <w:rPr/>
      </w:r>
      <w:r>
        <w:rPr/>
        <w:t>Carroll ISD – 2017 (fiscal year 2015-2016)</w:t>
      </w:r>
    </w:p>
    <w:p>
      <w:pPr>
        <w:pStyle w:val="BodyText"/>
        <w:spacing w:before="8"/>
        <w:rPr>
          <w:sz w:val="80"/>
        </w:rPr>
      </w:pPr>
    </w:p>
    <w:p>
      <w:pPr>
        <w:spacing w:line="249" w:lineRule="auto" w:before="0"/>
        <w:ind w:left="2463" w:right="0" w:hanging="1440"/>
        <w:jc w:val="left"/>
        <w:rPr>
          <w:sz w:val="64"/>
        </w:rPr>
      </w:pPr>
      <w:r>
        <w:rPr>
          <w:sz w:val="64"/>
        </w:rPr>
        <w:t>Total Point Score: 94 out of 100 </w:t>
      </w:r>
      <w:r>
        <w:rPr>
          <w:sz w:val="64"/>
          <w:u w:val="thick"/>
        </w:rPr>
        <w:t>and </w:t>
      </w:r>
      <w:r>
        <w:rPr>
          <w:sz w:val="64"/>
        </w:rPr>
        <w:t>answered YES to all Critical</w:t>
      </w:r>
    </w:p>
    <w:p>
      <w:pPr>
        <w:spacing w:before="2"/>
        <w:ind w:left="871" w:right="1052" w:firstLine="0"/>
        <w:jc w:val="center"/>
        <w:rPr>
          <w:sz w:val="64"/>
        </w:rPr>
      </w:pPr>
      <w:r>
        <w:rPr>
          <w:sz w:val="64"/>
        </w:rPr>
        <w:t>Indicators</w:t>
      </w:r>
    </w:p>
    <w:p>
      <w:pPr>
        <w:tabs>
          <w:tab w:pos="6098" w:val="left" w:leader="none"/>
        </w:tabs>
        <w:spacing w:before="185"/>
        <w:ind w:left="3543" w:right="0" w:firstLine="0"/>
        <w:jc w:val="left"/>
        <w:rPr>
          <w:b/>
          <w:sz w:val="64"/>
        </w:rPr>
      </w:pPr>
      <w:r>
        <w:rPr>
          <w:b/>
          <w:sz w:val="64"/>
        </w:rPr>
        <w:t>Rating:</w:t>
        <w:tab/>
        <w:t>Superior</w:t>
      </w:r>
    </w:p>
    <w:p>
      <w:pPr>
        <w:spacing w:after="0"/>
        <w:jc w:val="left"/>
        <w:rPr>
          <w:sz w:val="64"/>
        </w:rPr>
        <w:sectPr>
          <w:footerReference w:type="default" r:id="rId10"/>
          <w:pgSz w:w="14400" w:h="10800" w:orient="landscape"/>
          <w:pgMar w:footer="794" w:header="371" w:top="2420" w:bottom="980" w:left="760" w:right="640"/>
        </w:sectPr>
      </w:pPr>
    </w:p>
    <w:p>
      <w:pPr>
        <w:pStyle w:val="BodyText"/>
        <w:spacing w:before="5"/>
        <w:rPr>
          <w:b/>
          <w:sz w:val="18"/>
        </w:rPr>
      </w:pPr>
      <w:r>
        <w:rPr/>
        <w:drawing>
          <wp:anchor distT="0" distB="0" distL="0" distR="0" allowOverlap="1" layoutInCell="1" locked="0" behindDoc="0" simplePos="0" relativeHeight="1144">
            <wp:simplePos x="0" y="0"/>
            <wp:positionH relativeFrom="page">
              <wp:posOffset>914400</wp:posOffset>
            </wp:positionH>
            <wp:positionV relativeFrom="page">
              <wp:posOffset>304800</wp:posOffset>
            </wp:positionV>
            <wp:extent cx="1667255" cy="638555"/>
            <wp:effectExtent l="0" t="0" r="0" b="0"/>
            <wp:wrapNone/>
            <wp:docPr id="9" name="image2.jpeg" descr=""/>
            <wp:cNvGraphicFramePr>
              <a:graphicFrameLocks noChangeAspect="1"/>
            </wp:cNvGraphicFramePr>
            <a:graphic>
              <a:graphicData uri="http://schemas.openxmlformats.org/drawingml/2006/picture">
                <pic:pic>
                  <pic:nvPicPr>
                    <pic:cNvPr id="10"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spacing w:line="259" w:lineRule="auto" w:before="88"/>
        <w:ind w:left="584" w:right="730" w:hanging="461"/>
      </w:pPr>
      <w:bookmarkStart w:name="Slide Number 5" w:id="5"/>
      <w:bookmarkEnd w:id="5"/>
      <w:r>
        <w:rPr/>
      </w:r>
      <w:r>
        <w:rPr/>
        <w:t>1. Was the complete annual financial report (AFR) and data submitted to TEA within 30 days of the November 27 or January 28 deadline depending on the school district’s fiscal year end date of June 30</w:t>
      </w:r>
    </w:p>
    <w:p>
      <w:pPr>
        <w:pStyle w:val="BodyText"/>
        <w:spacing w:line="400" w:lineRule="exact"/>
        <w:ind w:left="623"/>
      </w:pPr>
      <w:r>
        <w:rPr/>
        <w:t>or August 31, respectively?</w:t>
      </w:r>
    </w:p>
    <w:p>
      <w:pPr>
        <w:pStyle w:val="BodyText"/>
        <w:rPr>
          <w:sz w:val="40"/>
        </w:rPr>
      </w:pPr>
    </w:p>
    <w:p>
      <w:pPr>
        <w:pStyle w:val="BodyText"/>
        <w:spacing w:before="10"/>
        <w:rPr>
          <w:sz w:val="55"/>
        </w:rPr>
      </w:pPr>
    </w:p>
    <w:p>
      <w:pPr>
        <w:tabs>
          <w:tab w:pos="8163" w:val="left" w:leader="none"/>
        </w:tabs>
        <w:spacing w:before="0"/>
        <w:ind w:left="1024" w:right="0" w:firstLine="0"/>
        <w:jc w:val="left"/>
        <w:rPr>
          <w:b/>
          <w:sz w:val="64"/>
        </w:rPr>
      </w:pPr>
      <w:r>
        <w:rPr>
          <w:sz w:val="64"/>
        </w:rPr>
        <w:t>CISD</w:t>
      </w:r>
      <w:r>
        <w:rPr>
          <w:spacing w:val="-7"/>
          <w:sz w:val="64"/>
        </w:rPr>
        <w:t> </w:t>
      </w:r>
      <w:r>
        <w:rPr>
          <w:sz w:val="64"/>
        </w:rPr>
        <w:t>Score</w:t>
      </w:r>
      <w:r>
        <w:rPr>
          <w:spacing w:val="-8"/>
          <w:sz w:val="64"/>
        </w:rPr>
        <w:t> </w:t>
      </w:r>
      <w:r>
        <w:rPr>
          <w:sz w:val="64"/>
        </w:rPr>
        <w:t>2015-2016:</w:t>
        <w:tab/>
      </w:r>
      <w:r>
        <w:rPr>
          <w:b/>
          <w:sz w:val="64"/>
        </w:rPr>
        <w:t>Yes =</w:t>
      </w:r>
      <w:r>
        <w:rPr>
          <w:b/>
          <w:spacing w:val="-10"/>
          <w:sz w:val="64"/>
        </w:rPr>
        <w:t> </w:t>
      </w:r>
      <w:r>
        <w:rPr>
          <w:b/>
          <w:sz w:val="64"/>
        </w:rPr>
        <w:t>Pass</w:t>
      </w:r>
    </w:p>
    <w:p>
      <w:pPr>
        <w:pStyle w:val="BodyText"/>
        <w:rPr>
          <w:b/>
          <w:sz w:val="72"/>
        </w:rPr>
      </w:pPr>
    </w:p>
    <w:p>
      <w:pPr>
        <w:pStyle w:val="Heading5"/>
        <w:spacing w:before="504"/>
        <w:ind w:left="1024"/>
      </w:pPr>
      <w:r>
        <w:rPr/>
        <w:t>(CISD AFR received by TEA 2/15/2017; due 2/28/2017)</w:t>
      </w:r>
    </w:p>
    <w:p>
      <w:pPr>
        <w:spacing w:after="0"/>
        <w:sectPr>
          <w:pgSz w:w="14400" w:h="10800" w:orient="landscape"/>
          <w:pgMar w:header="371" w:footer="794" w:top="2420" w:bottom="1100" w:left="800" w:right="520"/>
        </w:sectPr>
      </w:pPr>
    </w:p>
    <w:p>
      <w:pPr>
        <w:pStyle w:val="BodyText"/>
        <w:spacing w:line="249" w:lineRule="auto" w:before="183"/>
        <w:ind w:left="1164" w:right="2380" w:hanging="701"/>
        <w:jc w:val="both"/>
      </w:pPr>
      <w:r>
        <w:rPr/>
        <w:drawing>
          <wp:anchor distT="0" distB="0" distL="0" distR="0" allowOverlap="1" layoutInCell="1" locked="0" behindDoc="0" simplePos="0" relativeHeight="1168">
            <wp:simplePos x="0" y="0"/>
            <wp:positionH relativeFrom="page">
              <wp:posOffset>914400</wp:posOffset>
            </wp:positionH>
            <wp:positionV relativeFrom="page">
              <wp:posOffset>304800</wp:posOffset>
            </wp:positionV>
            <wp:extent cx="1667255" cy="638555"/>
            <wp:effectExtent l="0" t="0" r="0" b="0"/>
            <wp:wrapNone/>
            <wp:docPr id="11" name="image2.jpeg" descr=""/>
            <wp:cNvGraphicFramePr>
              <a:graphicFrameLocks noChangeAspect="1"/>
            </wp:cNvGraphicFramePr>
            <a:graphic>
              <a:graphicData uri="http://schemas.openxmlformats.org/drawingml/2006/picture">
                <pic:pic>
                  <pic:nvPicPr>
                    <pic:cNvPr id="12"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6" w:id="6"/>
      <w:bookmarkEnd w:id="6"/>
      <w:r>
        <w:rPr/>
      </w:r>
      <w:r>
        <w:rPr/>
        <w:t>2A. Was there an unmodified opinion in the AFR on the financial statements as a whole? (The American Institute of Certified Public Accountants (AICPA) defines unmodified opinion.</w:t>
      </w:r>
    </w:p>
    <w:p>
      <w:pPr>
        <w:pStyle w:val="BodyText"/>
        <w:spacing w:line="249" w:lineRule="auto" w:before="2"/>
        <w:ind w:left="1164" w:right="730"/>
      </w:pPr>
      <w:r>
        <w:rPr/>
        <w:t>The external independent auditor determines if there was an unmodified opinion.)</w:t>
      </w:r>
    </w:p>
    <w:p>
      <w:pPr>
        <w:pStyle w:val="BodyText"/>
        <w:rPr>
          <w:sz w:val="40"/>
        </w:rPr>
      </w:pPr>
    </w:p>
    <w:p>
      <w:pPr>
        <w:spacing w:before="259"/>
        <w:ind w:left="1904" w:right="0" w:firstLine="0"/>
        <w:jc w:val="left"/>
        <w:rPr>
          <w:b/>
          <w:sz w:val="56"/>
        </w:rPr>
      </w:pPr>
      <w:r>
        <w:rPr>
          <w:sz w:val="56"/>
        </w:rPr>
        <w:t>CISD Score 2015-2016: </w:t>
      </w:r>
      <w:r>
        <w:rPr>
          <w:b/>
          <w:sz w:val="56"/>
        </w:rPr>
        <w:t>Yes = Pass</w:t>
      </w:r>
    </w:p>
    <w:p>
      <w:pPr>
        <w:pStyle w:val="BodyText"/>
        <w:spacing w:before="4"/>
        <w:rPr>
          <w:b/>
          <w:sz w:val="70"/>
        </w:rPr>
      </w:pPr>
    </w:p>
    <w:p>
      <w:pPr>
        <w:pStyle w:val="Heading5"/>
        <w:ind w:left="1904"/>
      </w:pPr>
      <w:r>
        <w:rPr/>
        <w:t>(CISD received a “Clean Audit” designation)</w:t>
      </w:r>
    </w:p>
    <w:p>
      <w:pPr>
        <w:spacing w:after="0"/>
        <w:sectPr>
          <w:footerReference w:type="default" r:id="rId11"/>
          <w:pgSz w:w="14400" w:h="10800" w:orient="landscape"/>
          <w:pgMar w:footer="1279" w:header="371" w:top="2420" w:bottom="1460" w:left="520" w:right="800"/>
        </w:sectPr>
      </w:pPr>
    </w:p>
    <w:p>
      <w:pPr>
        <w:pStyle w:val="BodyText"/>
        <w:spacing w:line="249" w:lineRule="auto" w:before="183"/>
        <w:ind w:left="1023" w:hanging="800"/>
      </w:pPr>
      <w:r>
        <w:rPr/>
        <w:drawing>
          <wp:anchor distT="0" distB="0" distL="0" distR="0" allowOverlap="1" layoutInCell="1" locked="0" behindDoc="0" simplePos="0" relativeHeight="1192">
            <wp:simplePos x="0" y="0"/>
            <wp:positionH relativeFrom="page">
              <wp:posOffset>914400</wp:posOffset>
            </wp:positionH>
            <wp:positionV relativeFrom="page">
              <wp:posOffset>304800</wp:posOffset>
            </wp:positionV>
            <wp:extent cx="1667255" cy="638555"/>
            <wp:effectExtent l="0" t="0" r="0" b="0"/>
            <wp:wrapNone/>
            <wp:docPr id="13" name="image2.jpeg" descr=""/>
            <wp:cNvGraphicFramePr>
              <a:graphicFrameLocks noChangeAspect="1"/>
            </wp:cNvGraphicFramePr>
            <a:graphic>
              <a:graphicData uri="http://schemas.openxmlformats.org/drawingml/2006/picture">
                <pic:pic>
                  <pic:nvPicPr>
                    <pic:cNvPr id="14"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7" w:id="7"/>
      <w:bookmarkEnd w:id="7"/>
      <w:r>
        <w:rPr/>
      </w:r>
      <w:r>
        <w:rPr/>
        <w:t>2B. Did the external independent auditor report that the AFR was free of any instance(s) of material weaknesses in internal controls over financial reporting and compliance for local, state, or federal funds? (The AICPA defines material weakness.)</w:t>
      </w:r>
    </w:p>
    <w:p>
      <w:pPr>
        <w:pStyle w:val="BodyText"/>
        <w:rPr>
          <w:sz w:val="50"/>
        </w:rPr>
      </w:pPr>
    </w:p>
    <w:p>
      <w:pPr>
        <w:spacing w:before="0"/>
        <w:ind w:left="1664" w:right="0" w:firstLine="0"/>
        <w:jc w:val="left"/>
        <w:rPr>
          <w:b/>
          <w:sz w:val="56"/>
        </w:rPr>
      </w:pPr>
      <w:r>
        <w:rPr>
          <w:sz w:val="56"/>
        </w:rPr>
        <w:t>CISD Score 2015-2016: </w:t>
      </w:r>
      <w:r>
        <w:rPr>
          <w:b/>
          <w:sz w:val="56"/>
        </w:rPr>
        <w:t>Yes = Pass</w:t>
      </w:r>
    </w:p>
    <w:p>
      <w:pPr>
        <w:pStyle w:val="BodyText"/>
        <w:spacing w:before="4"/>
        <w:rPr>
          <w:b/>
          <w:sz w:val="70"/>
        </w:rPr>
      </w:pPr>
    </w:p>
    <w:p>
      <w:pPr>
        <w:pStyle w:val="Heading5"/>
        <w:spacing w:line="249" w:lineRule="auto"/>
        <w:ind w:left="2023" w:right="310" w:hanging="360"/>
      </w:pPr>
      <w:r>
        <w:rPr/>
        <w:t>(CISD had no material weaknesses reported in the audit report.)</w:t>
      </w:r>
    </w:p>
    <w:p>
      <w:pPr>
        <w:spacing w:after="0" w:line="249" w:lineRule="auto"/>
        <w:sectPr>
          <w:pgSz w:w="14400" w:h="10800" w:orient="landscape"/>
          <w:pgMar w:header="371" w:footer="1279" w:top="2420" w:bottom="1580" w:left="760" w:right="640"/>
        </w:sectPr>
      </w:pPr>
    </w:p>
    <w:p>
      <w:pPr>
        <w:pStyle w:val="ListParagraph"/>
        <w:numPr>
          <w:ilvl w:val="0"/>
          <w:numId w:val="1"/>
        </w:numPr>
        <w:tabs>
          <w:tab w:pos="723" w:val="left" w:leader="none"/>
          <w:tab w:pos="724" w:val="left" w:leader="none"/>
          <w:tab w:pos="5903" w:val="left" w:leader="none"/>
        </w:tabs>
        <w:spacing w:line="249" w:lineRule="auto" w:before="63" w:after="0"/>
        <w:ind w:left="784" w:right="579" w:hanging="600"/>
        <w:jc w:val="left"/>
        <w:rPr>
          <w:sz w:val="36"/>
        </w:rPr>
      </w:pPr>
      <w:r>
        <w:rPr/>
        <w:drawing>
          <wp:anchor distT="0" distB="0" distL="0" distR="0" allowOverlap="1" layoutInCell="1" locked="0" behindDoc="0" simplePos="0" relativeHeight="1216">
            <wp:simplePos x="0" y="0"/>
            <wp:positionH relativeFrom="page">
              <wp:posOffset>914400</wp:posOffset>
            </wp:positionH>
            <wp:positionV relativeFrom="page">
              <wp:posOffset>304800</wp:posOffset>
            </wp:positionV>
            <wp:extent cx="1667255" cy="638555"/>
            <wp:effectExtent l="0" t="0" r="0" b="0"/>
            <wp:wrapNone/>
            <wp:docPr id="15" name="image2.jpeg" descr=""/>
            <wp:cNvGraphicFramePr>
              <a:graphicFrameLocks noChangeAspect="1"/>
            </wp:cNvGraphicFramePr>
            <a:graphic>
              <a:graphicData uri="http://schemas.openxmlformats.org/drawingml/2006/picture">
                <pic:pic>
                  <pic:nvPicPr>
                    <pic:cNvPr id="16"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8" w:id="8"/>
      <w:bookmarkEnd w:id="8"/>
      <w:r>
        <w:rPr/>
      </w:r>
      <w:bookmarkStart w:name="Slide Number 8" w:id="9"/>
      <w:bookmarkEnd w:id="9"/>
      <w:r>
        <w:rPr>
          <w:sz w:val="36"/>
        </w:rPr>
        <w:t>W</w:t>
      </w:r>
      <w:r>
        <w:rPr>
          <w:sz w:val="36"/>
        </w:rPr>
        <w:t>as the school district in compliance </w:t>
      </w:r>
      <w:r>
        <w:rPr>
          <w:spacing w:val="-3"/>
          <w:sz w:val="36"/>
        </w:rPr>
        <w:t>with </w:t>
      </w:r>
      <w:r>
        <w:rPr>
          <w:sz w:val="36"/>
        </w:rPr>
        <w:t>the payment terms of all debt agreements at fiscal</w:t>
      </w:r>
      <w:r>
        <w:rPr>
          <w:spacing w:val="-7"/>
          <w:sz w:val="36"/>
        </w:rPr>
        <w:t> </w:t>
      </w:r>
      <w:r>
        <w:rPr>
          <w:spacing w:val="-3"/>
          <w:sz w:val="36"/>
        </w:rPr>
        <w:t>year</w:t>
      </w:r>
      <w:r>
        <w:rPr>
          <w:spacing w:val="4"/>
          <w:sz w:val="36"/>
        </w:rPr>
        <w:t> </w:t>
      </w:r>
      <w:r>
        <w:rPr>
          <w:sz w:val="36"/>
        </w:rPr>
        <w:t>end?</w:t>
        <w:tab/>
        <w:t>(If the school district </w:t>
      </w:r>
      <w:r>
        <w:rPr>
          <w:spacing w:val="-4"/>
          <w:sz w:val="36"/>
        </w:rPr>
        <w:t>was </w:t>
      </w:r>
      <w:r>
        <w:rPr>
          <w:sz w:val="36"/>
        </w:rPr>
        <w:t>in default</w:t>
      </w:r>
      <w:r>
        <w:rPr>
          <w:spacing w:val="-3"/>
          <w:sz w:val="36"/>
        </w:rPr>
        <w:t> </w:t>
      </w:r>
      <w:r>
        <w:rPr>
          <w:sz w:val="36"/>
        </w:rPr>
        <w:t>in</w:t>
      </w:r>
      <w:r>
        <w:rPr>
          <w:spacing w:val="-4"/>
          <w:sz w:val="36"/>
        </w:rPr>
        <w:t> </w:t>
      </w:r>
      <w:r>
        <w:rPr>
          <w:sz w:val="36"/>
        </w:rPr>
        <w:t>a</w:t>
      </w:r>
      <w:r>
        <w:rPr>
          <w:w w:val="99"/>
          <w:sz w:val="36"/>
        </w:rPr>
        <w:t> </w:t>
      </w:r>
      <w:r>
        <w:rPr>
          <w:sz w:val="36"/>
        </w:rPr>
        <w:t>prior fiscal year, an exemption applies in following years if the school</w:t>
      </w:r>
      <w:r>
        <w:rPr>
          <w:spacing w:val="-46"/>
          <w:sz w:val="36"/>
        </w:rPr>
        <w:t> </w:t>
      </w:r>
      <w:r>
        <w:rPr>
          <w:sz w:val="36"/>
        </w:rPr>
        <w:t>district</w:t>
      </w:r>
    </w:p>
    <w:p>
      <w:pPr>
        <w:pStyle w:val="BodyText"/>
        <w:tabs>
          <w:tab w:pos="2204" w:val="left" w:leader="none"/>
          <w:tab w:pos="10340" w:val="left" w:leader="none"/>
        </w:tabs>
        <w:spacing w:line="249" w:lineRule="auto" w:before="2"/>
        <w:ind w:left="784" w:right="105"/>
      </w:pPr>
      <w:r>
        <w:rPr/>
        <w:t>is current on its forbearance or payment plan </w:t>
      </w:r>
      <w:r>
        <w:rPr>
          <w:spacing w:val="-3"/>
        </w:rPr>
        <w:t>with </w:t>
      </w:r>
      <w:r>
        <w:rPr/>
        <w:t>the lender and the</w:t>
      </w:r>
      <w:r>
        <w:rPr>
          <w:spacing w:val="-42"/>
        </w:rPr>
        <w:t> </w:t>
      </w:r>
      <w:r>
        <w:rPr/>
        <w:t>payments are made on schedule for the fiscal </w:t>
      </w:r>
      <w:r>
        <w:rPr>
          <w:spacing w:val="-3"/>
        </w:rPr>
        <w:t>year </w:t>
      </w:r>
      <w:r>
        <w:rPr/>
        <w:t>being rated. Also exempted are technical defaults that are not related to</w:t>
      </w:r>
      <w:r>
        <w:rPr>
          <w:spacing w:val="-30"/>
        </w:rPr>
        <w:t> </w:t>
      </w:r>
      <w:r>
        <w:rPr/>
        <w:t>monetary</w:t>
      </w:r>
      <w:r>
        <w:rPr>
          <w:spacing w:val="-6"/>
        </w:rPr>
        <w:t> </w:t>
      </w:r>
      <w:r>
        <w:rPr/>
        <w:t>defaults.</w:t>
        <w:tab/>
        <w:t>A</w:t>
      </w:r>
      <w:r>
        <w:rPr>
          <w:spacing w:val="-10"/>
        </w:rPr>
        <w:t> </w:t>
      </w:r>
      <w:r>
        <w:rPr/>
        <w:t>technical</w:t>
      </w:r>
      <w:r>
        <w:rPr>
          <w:spacing w:val="-8"/>
        </w:rPr>
        <w:t> </w:t>
      </w:r>
      <w:r>
        <w:rPr/>
        <w:t>default</w:t>
      </w:r>
      <w:r>
        <w:rPr>
          <w:w w:val="100"/>
        </w:rPr>
        <w:t> </w:t>
      </w:r>
      <w:r>
        <w:rPr/>
        <w:t>is a failure to uphold the terms of a debt covenant, contract, or master promissory note even though payments to the lender, trust, or sinking fund are current.</w:t>
        <w:tab/>
        <w:t>A  debt agreement is a legal agreement </w:t>
      </w:r>
      <w:r>
        <w:rPr>
          <w:spacing w:val="-3"/>
        </w:rPr>
        <w:t>between </w:t>
      </w:r>
      <w:r>
        <w:rPr/>
        <w:t>a</w:t>
      </w:r>
      <w:r>
        <w:rPr>
          <w:spacing w:val="-25"/>
        </w:rPr>
        <w:t> </w:t>
      </w:r>
      <w:r>
        <w:rPr/>
        <w:t>debtor</w:t>
      </w:r>
      <w:r>
        <w:rPr>
          <w:spacing w:val="-5"/>
        </w:rPr>
        <w:t> </w:t>
      </w:r>
      <w:r>
        <w:rPr/>
        <w:t>(person,</w:t>
      </w:r>
      <w:r>
        <w:rPr>
          <w:spacing w:val="-2"/>
        </w:rPr>
        <w:t> </w:t>
      </w:r>
      <w:r>
        <w:rPr/>
        <w:t>company, etc., that </w:t>
      </w:r>
      <w:r>
        <w:rPr>
          <w:spacing w:val="-3"/>
        </w:rPr>
        <w:t>owes </w:t>
      </w:r>
      <w:r>
        <w:rPr/>
        <w:t>money) and their creditors, </w:t>
      </w:r>
      <w:r>
        <w:rPr>
          <w:spacing w:val="-3"/>
        </w:rPr>
        <w:t>which </w:t>
      </w:r>
      <w:r>
        <w:rPr/>
        <w:t>includes a plan for paying back the</w:t>
      </w:r>
      <w:r>
        <w:rPr>
          <w:spacing w:val="-17"/>
        </w:rPr>
        <w:t> </w:t>
      </w:r>
      <w:r>
        <w:rPr/>
        <w:t>debt.)</w:t>
      </w:r>
    </w:p>
    <w:p>
      <w:pPr>
        <w:pStyle w:val="BodyText"/>
        <w:spacing w:before="5"/>
        <w:rPr>
          <w:sz w:val="42"/>
        </w:rPr>
      </w:pPr>
    </w:p>
    <w:p>
      <w:pPr>
        <w:spacing w:before="1"/>
        <w:ind w:left="1624" w:right="0" w:firstLine="0"/>
        <w:jc w:val="left"/>
        <w:rPr>
          <w:b/>
          <w:sz w:val="56"/>
        </w:rPr>
      </w:pPr>
      <w:r>
        <w:rPr>
          <w:sz w:val="56"/>
        </w:rPr>
        <w:t>CISD Score 2015-2016: </w:t>
      </w:r>
      <w:r>
        <w:rPr>
          <w:b/>
          <w:sz w:val="56"/>
        </w:rPr>
        <w:t>Yes = Pass</w:t>
      </w:r>
    </w:p>
    <w:p>
      <w:pPr>
        <w:pStyle w:val="Heading5"/>
        <w:spacing w:line="249" w:lineRule="auto" w:before="463"/>
        <w:ind w:left="1983" w:right="105" w:hanging="360"/>
      </w:pPr>
      <w:r>
        <w:rPr/>
        <w:t>(CISD received no disclosures in the annual finance report of information concerning default on debt agreements.)</w:t>
      </w:r>
    </w:p>
    <w:p>
      <w:pPr>
        <w:spacing w:after="0" w:line="249" w:lineRule="auto"/>
        <w:sectPr>
          <w:footerReference w:type="default" r:id="rId12"/>
          <w:pgSz w:w="14400" w:h="10800" w:orient="landscape"/>
          <w:pgMar w:footer="502" w:header="371" w:top="2420" w:bottom="700" w:left="800" w:right="180"/>
        </w:sectPr>
      </w:pPr>
    </w:p>
    <w:p>
      <w:pPr>
        <w:pStyle w:val="ListParagraph"/>
        <w:numPr>
          <w:ilvl w:val="0"/>
          <w:numId w:val="1"/>
        </w:numPr>
        <w:tabs>
          <w:tab w:pos="723" w:val="left" w:leader="none"/>
          <w:tab w:pos="724" w:val="left" w:leader="none"/>
        </w:tabs>
        <w:spacing w:line="249" w:lineRule="auto" w:before="183" w:after="0"/>
        <w:ind w:left="784" w:right="742" w:hanging="600"/>
        <w:jc w:val="left"/>
        <w:rPr>
          <w:sz w:val="36"/>
        </w:rPr>
      </w:pPr>
      <w:r>
        <w:rPr/>
        <w:drawing>
          <wp:anchor distT="0" distB="0" distL="0" distR="0" allowOverlap="1" layoutInCell="1" locked="0" behindDoc="0" simplePos="0" relativeHeight="1240">
            <wp:simplePos x="0" y="0"/>
            <wp:positionH relativeFrom="page">
              <wp:posOffset>914400</wp:posOffset>
            </wp:positionH>
            <wp:positionV relativeFrom="page">
              <wp:posOffset>304800</wp:posOffset>
            </wp:positionV>
            <wp:extent cx="1667255" cy="638555"/>
            <wp:effectExtent l="0" t="0" r="0" b="0"/>
            <wp:wrapNone/>
            <wp:docPr id="17" name="image2.jpeg" descr=""/>
            <wp:cNvGraphicFramePr>
              <a:graphicFrameLocks noChangeAspect="1"/>
            </wp:cNvGraphicFramePr>
            <a:graphic>
              <a:graphicData uri="http://schemas.openxmlformats.org/drawingml/2006/picture">
                <pic:pic>
                  <pic:nvPicPr>
                    <pic:cNvPr id="18"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9" w:id="10"/>
      <w:bookmarkEnd w:id="10"/>
      <w:r>
        <w:rPr/>
      </w:r>
      <w:bookmarkStart w:name="Slide Number 9" w:id="11"/>
      <w:bookmarkEnd w:id="11"/>
      <w:r>
        <w:rPr>
          <w:sz w:val="36"/>
        </w:rPr>
        <w:t>D</w:t>
      </w:r>
      <w:r>
        <w:rPr>
          <w:sz w:val="36"/>
        </w:rPr>
        <w:t>id the school district make timely payments to the Teachers</w:t>
      </w:r>
      <w:r>
        <w:rPr>
          <w:spacing w:val="-45"/>
          <w:sz w:val="36"/>
        </w:rPr>
        <w:t> </w:t>
      </w:r>
      <w:r>
        <w:rPr>
          <w:sz w:val="36"/>
        </w:rPr>
        <w:t>Retirement System (TRS), Texas Workforce Commission (TWC), Internal Revenue Service (IRS), and other government</w:t>
      </w:r>
      <w:r>
        <w:rPr>
          <w:spacing w:val="-35"/>
          <w:sz w:val="36"/>
        </w:rPr>
        <w:t> </w:t>
      </w:r>
      <w:r>
        <w:rPr>
          <w:sz w:val="36"/>
        </w:rPr>
        <w:t>agencies?</w:t>
      </w:r>
    </w:p>
    <w:p>
      <w:pPr>
        <w:pStyle w:val="BodyText"/>
        <w:rPr>
          <w:sz w:val="40"/>
        </w:rPr>
      </w:pPr>
    </w:p>
    <w:p>
      <w:pPr>
        <w:spacing w:before="259"/>
        <w:ind w:left="1624" w:right="0" w:firstLine="0"/>
        <w:jc w:val="left"/>
        <w:rPr>
          <w:b/>
          <w:sz w:val="56"/>
        </w:rPr>
      </w:pPr>
      <w:r>
        <w:rPr>
          <w:sz w:val="56"/>
        </w:rPr>
        <w:t>CISD Score 2015-2016: </w:t>
      </w:r>
      <w:r>
        <w:rPr>
          <w:b/>
          <w:sz w:val="56"/>
        </w:rPr>
        <w:t>Yes = Pass</w:t>
      </w:r>
    </w:p>
    <w:p>
      <w:pPr>
        <w:pStyle w:val="BodyText"/>
        <w:spacing w:before="4"/>
        <w:rPr>
          <w:b/>
          <w:sz w:val="70"/>
        </w:rPr>
      </w:pPr>
    </w:p>
    <w:p>
      <w:pPr>
        <w:pStyle w:val="Heading5"/>
        <w:spacing w:line="249" w:lineRule="auto"/>
        <w:ind w:left="1983" w:hanging="360"/>
      </w:pPr>
      <w:r>
        <w:rPr/>
        <w:t>(CISD made timely payments to the TRS, TWC, IRS and other governmental agencies.)</w:t>
      </w:r>
    </w:p>
    <w:p>
      <w:pPr>
        <w:spacing w:after="0" w:line="249" w:lineRule="auto"/>
        <w:sectPr>
          <w:pgSz w:w="14400" w:h="10800" w:orient="landscape"/>
          <w:pgMar w:header="371" w:footer="502" w:top="2420" w:bottom="860" w:left="800" w:right="580"/>
        </w:sectPr>
      </w:pPr>
    </w:p>
    <w:p>
      <w:pPr>
        <w:pStyle w:val="ListParagraph"/>
        <w:numPr>
          <w:ilvl w:val="0"/>
          <w:numId w:val="1"/>
        </w:numPr>
        <w:tabs>
          <w:tab w:pos="723" w:val="left" w:leader="none"/>
          <w:tab w:pos="724" w:val="left" w:leader="none"/>
          <w:tab w:pos="9020" w:val="left" w:leader="none"/>
        </w:tabs>
        <w:spacing w:line="249" w:lineRule="auto" w:before="183" w:after="0"/>
        <w:ind w:left="724" w:right="260" w:hanging="540"/>
        <w:jc w:val="left"/>
        <w:rPr>
          <w:sz w:val="36"/>
        </w:rPr>
      </w:pPr>
      <w:r>
        <w:rPr/>
        <w:drawing>
          <wp:anchor distT="0" distB="0" distL="0" distR="0" allowOverlap="1" layoutInCell="1" locked="0" behindDoc="0" simplePos="0" relativeHeight="1264">
            <wp:simplePos x="0" y="0"/>
            <wp:positionH relativeFrom="page">
              <wp:posOffset>914400</wp:posOffset>
            </wp:positionH>
            <wp:positionV relativeFrom="page">
              <wp:posOffset>304800</wp:posOffset>
            </wp:positionV>
            <wp:extent cx="1667255" cy="638555"/>
            <wp:effectExtent l="0" t="0" r="0" b="0"/>
            <wp:wrapNone/>
            <wp:docPr id="19" name="image2.jpeg" descr=""/>
            <wp:cNvGraphicFramePr>
              <a:graphicFrameLocks noChangeAspect="1"/>
            </wp:cNvGraphicFramePr>
            <a:graphic>
              <a:graphicData uri="http://schemas.openxmlformats.org/drawingml/2006/picture">
                <pic:pic>
                  <pic:nvPicPr>
                    <pic:cNvPr id="20"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0" w:id="12"/>
      <w:bookmarkEnd w:id="12"/>
      <w:r>
        <w:rPr/>
      </w:r>
      <w:bookmarkStart w:name="Slide Number 10" w:id="13"/>
      <w:bookmarkEnd w:id="13"/>
      <w:r>
        <w:rPr>
          <w:sz w:val="36"/>
        </w:rPr>
        <w:t>W</w:t>
      </w:r>
      <w:r>
        <w:rPr>
          <w:sz w:val="36"/>
        </w:rPr>
        <w:t>as the total unrestricted net position balance (Net of the accretion of interest for capital appreciation bonds) in the governmental activities</w:t>
      </w:r>
      <w:r>
        <w:rPr>
          <w:spacing w:val="-51"/>
          <w:sz w:val="36"/>
        </w:rPr>
        <w:t> </w:t>
      </w:r>
      <w:r>
        <w:rPr>
          <w:sz w:val="36"/>
        </w:rPr>
        <w:t>column in the Statement of Net Position greater</w:t>
      </w:r>
      <w:r>
        <w:rPr>
          <w:spacing w:val="-23"/>
          <w:sz w:val="36"/>
        </w:rPr>
        <w:t> </w:t>
      </w:r>
      <w:r>
        <w:rPr>
          <w:sz w:val="36"/>
        </w:rPr>
        <w:t>than</w:t>
      </w:r>
      <w:r>
        <w:rPr>
          <w:spacing w:val="-5"/>
          <w:sz w:val="36"/>
        </w:rPr>
        <w:t> </w:t>
      </w:r>
      <w:r>
        <w:rPr>
          <w:sz w:val="36"/>
        </w:rPr>
        <w:t>zero?</w:t>
        <w:tab/>
        <w:t>(If the</w:t>
      </w:r>
      <w:r>
        <w:rPr>
          <w:spacing w:val="-11"/>
          <w:sz w:val="36"/>
        </w:rPr>
        <w:t> </w:t>
      </w:r>
      <w:r>
        <w:rPr>
          <w:sz w:val="36"/>
        </w:rPr>
        <w:t>school</w:t>
      </w:r>
      <w:r>
        <w:rPr>
          <w:spacing w:val="-3"/>
          <w:sz w:val="36"/>
        </w:rPr>
        <w:t> </w:t>
      </w:r>
      <w:r>
        <w:rPr>
          <w:sz w:val="36"/>
        </w:rPr>
        <w:t>district’s change of students in membership over 5 years </w:t>
      </w:r>
      <w:r>
        <w:rPr>
          <w:spacing w:val="-4"/>
          <w:sz w:val="36"/>
        </w:rPr>
        <w:t>was </w:t>
      </w:r>
      <w:r>
        <w:rPr>
          <w:sz w:val="36"/>
        </w:rPr>
        <w:t>10 percent or more, then the school district passes this</w:t>
      </w:r>
      <w:r>
        <w:rPr>
          <w:spacing w:val="-32"/>
          <w:sz w:val="36"/>
        </w:rPr>
        <w:t> </w:t>
      </w:r>
      <w:r>
        <w:rPr>
          <w:sz w:val="36"/>
        </w:rPr>
        <w:t>indicator.)</w:t>
      </w:r>
    </w:p>
    <w:p>
      <w:pPr>
        <w:pStyle w:val="BodyText"/>
        <w:spacing w:before="3"/>
        <w:rPr>
          <w:sz w:val="59"/>
        </w:rPr>
      </w:pPr>
    </w:p>
    <w:p>
      <w:pPr>
        <w:tabs>
          <w:tab w:pos="7863" w:val="left" w:leader="none"/>
        </w:tabs>
        <w:spacing w:before="1"/>
        <w:ind w:left="724" w:right="0" w:firstLine="0"/>
        <w:jc w:val="left"/>
        <w:rPr>
          <w:b/>
          <w:sz w:val="64"/>
        </w:rPr>
      </w:pPr>
      <w:r>
        <w:rPr>
          <w:sz w:val="64"/>
        </w:rPr>
        <w:t>CISD</w:t>
      </w:r>
      <w:r>
        <w:rPr>
          <w:spacing w:val="-7"/>
          <w:sz w:val="64"/>
        </w:rPr>
        <w:t> </w:t>
      </w:r>
      <w:r>
        <w:rPr>
          <w:sz w:val="64"/>
        </w:rPr>
        <w:t>Score</w:t>
      </w:r>
      <w:r>
        <w:rPr>
          <w:spacing w:val="-8"/>
          <w:sz w:val="64"/>
        </w:rPr>
        <w:t> </w:t>
      </w:r>
      <w:r>
        <w:rPr>
          <w:sz w:val="64"/>
        </w:rPr>
        <w:t>2015-2016:</w:t>
        <w:tab/>
      </w:r>
      <w:r>
        <w:rPr>
          <w:b/>
          <w:sz w:val="64"/>
        </w:rPr>
        <w:t>Yes =</w:t>
      </w:r>
      <w:r>
        <w:rPr>
          <w:b/>
          <w:spacing w:val="-10"/>
          <w:sz w:val="64"/>
        </w:rPr>
        <w:t> </w:t>
      </w:r>
      <w:r>
        <w:rPr>
          <w:b/>
          <w:sz w:val="64"/>
        </w:rPr>
        <w:t>Pass</w:t>
      </w:r>
    </w:p>
    <w:p>
      <w:pPr>
        <w:pStyle w:val="BodyText"/>
        <w:spacing w:before="7"/>
        <w:rPr>
          <w:b/>
          <w:sz w:val="90"/>
        </w:rPr>
      </w:pPr>
    </w:p>
    <w:p>
      <w:pPr>
        <w:pStyle w:val="Heading5"/>
        <w:spacing w:line="249" w:lineRule="auto"/>
        <w:ind w:left="3138" w:hanging="2830"/>
      </w:pPr>
      <w:r>
        <w:rPr/>
        <w:t>(CISD Unrestricted Net Position Balance = $31,995,049 + Accretion of Capital Appreciation Bonds $20,287,832)</w:t>
      </w:r>
    </w:p>
    <w:p>
      <w:pPr>
        <w:spacing w:after="0" w:line="249" w:lineRule="auto"/>
        <w:sectPr>
          <w:footerReference w:type="default" r:id="rId13"/>
          <w:pgSz w:w="14400" w:h="10800" w:orient="landscape"/>
          <w:pgMar w:footer="914" w:header="371" w:top="2420" w:bottom="1100" w:left="800" w:right="520"/>
        </w:sectPr>
      </w:pPr>
    </w:p>
    <w:p>
      <w:pPr>
        <w:pStyle w:val="ListParagraph"/>
        <w:numPr>
          <w:ilvl w:val="0"/>
          <w:numId w:val="1"/>
        </w:numPr>
        <w:tabs>
          <w:tab w:pos="883" w:val="left" w:leader="none"/>
          <w:tab w:pos="884" w:val="left" w:leader="none"/>
        </w:tabs>
        <w:spacing w:line="249" w:lineRule="auto" w:before="183" w:after="0"/>
        <w:ind w:left="944" w:right="106" w:hanging="600"/>
        <w:jc w:val="left"/>
        <w:rPr>
          <w:sz w:val="36"/>
        </w:rPr>
      </w:pPr>
      <w:r>
        <w:rPr/>
        <w:drawing>
          <wp:anchor distT="0" distB="0" distL="0" distR="0" allowOverlap="1" layoutInCell="1" locked="0" behindDoc="0" simplePos="0" relativeHeight="1288">
            <wp:simplePos x="0" y="0"/>
            <wp:positionH relativeFrom="page">
              <wp:posOffset>914400</wp:posOffset>
            </wp:positionH>
            <wp:positionV relativeFrom="page">
              <wp:posOffset>304800</wp:posOffset>
            </wp:positionV>
            <wp:extent cx="1667255" cy="638555"/>
            <wp:effectExtent l="0" t="0" r="0" b="0"/>
            <wp:wrapNone/>
            <wp:docPr id="21" name="image2.jpeg" descr=""/>
            <wp:cNvGraphicFramePr>
              <a:graphicFrameLocks noChangeAspect="1"/>
            </wp:cNvGraphicFramePr>
            <a:graphic>
              <a:graphicData uri="http://schemas.openxmlformats.org/drawingml/2006/picture">
                <pic:pic>
                  <pic:nvPicPr>
                    <pic:cNvPr id="22"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1" w:id="14"/>
      <w:bookmarkEnd w:id="14"/>
      <w:r>
        <w:rPr/>
      </w:r>
      <w:bookmarkStart w:name="Slide Number 11" w:id="15"/>
      <w:bookmarkEnd w:id="15"/>
      <w:r>
        <w:rPr>
          <w:sz w:val="36"/>
        </w:rPr>
        <w:t>W</w:t>
      </w:r>
      <w:r>
        <w:rPr>
          <w:sz w:val="36"/>
        </w:rPr>
        <w:t>as the number of </w:t>
      </w:r>
      <w:r>
        <w:rPr>
          <w:spacing w:val="-3"/>
          <w:sz w:val="36"/>
        </w:rPr>
        <w:t>days </w:t>
      </w:r>
      <w:r>
        <w:rPr>
          <w:sz w:val="36"/>
        </w:rPr>
        <w:t>of cash on hand and current investments in the general fund for the school district sufficient to cover operating</w:t>
      </w:r>
      <w:r>
        <w:rPr>
          <w:spacing w:val="-61"/>
          <w:sz w:val="36"/>
        </w:rPr>
        <w:t> </w:t>
      </w:r>
      <w:r>
        <w:rPr>
          <w:sz w:val="36"/>
        </w:rPr>
        <w:t>expenditures (excluding facilities acquisition and</w:t>
      </w:r>
      <w:r>
        <w:rPr>
          <w:spacing w:val="-34"/>
          <w:sz w:val="36"/>
        </w:rPr>
        <w:t> </w:t>
      </w:r>
      <w:r>
        <w:rPr>
          <w:sz w:val="36"/>
        </w:rPr>
        <w:t>construction)?</w:t>
      </w:r>
    </w:p>
    <w:p>
      <w:pPr>
        <w:pStyle w:val="BodyText"/>
        <w:rPr>
          <w:sz w:val="40"/>
        </w:rPr>
      </w:pPr>
    </w:p>
    <w:p>
      <w:pPr>
        <w:spacing w:before="259"/>
        <w:ind w:left="1784" w:right="0" w:firstLine="0"/>
        <w:jc w:val="left"/>
        <w:rPr>
          <w:sz w:val="56"/>
        </w:rPr>
      </w:pPr>
      <w:r>
        <w:rPr>
          <w:sz w:val="56"/>
        </w:rPr>
        <w:t>CISD Score 2015-2016=10 points</w:t>
      </w:r>
    </w:p>
    <w:p>
      <w:pPr>
        <w:pStyle w:val="BodyText"/>
        <w:spacing w:before="4"/>
        <w:rPr>
          <w:sz w:val="70"/>
        </w:rPr>
      </w:pPr>
    </w:p>
    <w:p>
      <w:pPr>
        <w:pStyle w:val="Heading5"/>
        <w:spacing w:line="300" w:lineRule="auto"/>
        <w:ind w:left="2004" w:hanging="221"/>
      </w:pPr>
      <w:r>
        <w:rPr/>
        <w:t>(CISD had 131 days of cash on hand to cover operating expenditures; threshold to receive 10 points was 90 days)</w:t>
      </w:r>
    </w:p>
    <w:p>
      <w:pPr>
        <w:spacing w:after="0" w:line="300" w:lineRule="auto"/>
        <w:sectPr>
          <w:footerReference w:type="default" r:id="rId14"/>
          <w:pgSz w:w="14400" w:h="10800" w:orient="landscape"/>
          <w:pgMar w:footer="554" w:header="371" w:top="2420" w:bottom="740" w:left="640" w:right="660"/>
        </w:sectPr>
      </w:pPr>
    </w:p>
    <w:p>
      <w:pPr>
        <w:pStyle w:val="ListParagraph"/>
        <w:numPr>
          <w:ilvl w:val="0"/>
          <w:numId w:val="1"/>
        </w:numPr>
        <w:tabs>
          <w:tab w:pos="1063" w:val="left" w:leader="none"/>
          <w:tab w:pos="1064" w:val="left" w:leader="none"/>
        </w:tabs>
        <w:spacing w:line="249" w:lineRule="auto" w:before="183" w:after="0"/>
        <w:ind w:left="1164" w:right="300" w:hanging="700"/>
        <w:jc w:val="left"/>
        <w:rPr>
          <w:sz w:val="36"/>
        </w:rPr>
      </w:pPr>
      <w:r>
        <w:rPr/>
        <w:drawing>
          <wp:anchor distT="0" distB="0" distL="0" distR="0" allowOverlap="1" layoutInCell="1" locked="0" behindDoc="0" simplePos="0" relativeHeight="1312">
            <wp:simplePos x="0" y="0"/>
            <wp:positionH relativeFrom="page">
              <wp:posOffset>914400</wp:posOffset>
            </wp:positionH>
            <wp:positionV relativeFrom="page">
              <wp:posOffset>304800</wp:posOffset>
            </wp:positionV>
            <wp:extent cx="1667255" cy="638555"/>
            <wp:effectExtent l="0" t="0" r="0" b="0"/>
            <wp:wrapNone/>
            <wp:docPr id="23" name="image2.jpeg" descr=""/>
            <wp:cNvGraphicFramePr>
              <a:graphicFrameLocks noChangeAspect="1"/>
            </wp:cNvGraphicFramePr>
            <a:graphic>
              <a:graphicData uri="http://schemas.openxmlformats.org/drawingml/2006/picture">
                <pic:pic>
                  <pic:nvPicPr>
                    <pic:cNvPr id="24"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2" w:id="16"/>
      <w:bookmarkEnd w:id="16"/>
      <w:r>
        <w:rPr/>
      </w:r>
      <w:bookmarkStart w:name="Slide Number 12" w:id="17"/>
      <w:bookmarkEnd w:id="17"/>
      <w:r>
        <w:rPr>
          <w:sz w:val="36"/>
        </w:rPr>
        <w:t>W</w:t>
      </w:r>
      <w:r>
        <w:rPr>
          <w:sz w:val="36"/>
        </w:rPr>
        <w:t>as the measure of current assets to current liabilities ratio for the</w:t>
      </w:r>
      <w:r>
        <w:rPr>
          <w:spacing w:val="-49"/>
          <w:sz w:val="36"/>
        </w:rPr>
        <w:t> </w:t>
      </w:r>
      <w:r>
        <w:rPr>
          <w:sz w:val="36"/>
        </w:rPr>
        <w:t>school district sufficient to cover short-term</w:t>
      </w:r>
      <w:r>
        <w:rPr>
          <w:spacing w:val="-19"/>
          <w:sz w:val="36"/>
        </w:rPr>
        <w:t> </w:t>
      </w:r>
      <w:r>
        <w:rPr>
          <w:sz w:val="36"/>
        </w:rPr>
        <w:t>debt?</w:t>
      </w:r>
    </w:p>
    <w:p>
      <w:pPr>
        <w:pStyle w:val="BodyText"/>
        <w:rPr>
          <w:sz w:val="40"/>
        </w:rPr>
      </w:pPr>
    </w:p>
    <w:p>
      <w:pPr>
        <w:pStyle w:val="Heading2"/>
        <w:ind w:left="1904"/>
      </w:pPr>
      <w:r>
        <w:rPr/>
        <w:t>CISD Score 2015-2016=8 points</w:t>
      </w:r>
    </w:p>
    <w:p>
      <w:pPr>
        <w:pStyle w:val="BodyText"/>
        <w:spacing w:before="4"/>
        <w:rPr>
          <w:sz w:val="70"/>
        </w:rPr>
      </w:pPr>
    </w:p>
    <w:p>
      <w:pPr>
        <w:pStyle w:val="Heading5"/>
        <w:spacing w:line="249" w:lineRule="auto"/>
        <w:ind w:left="2263" w:hanging="360"/>
      </w:pPr>
      <w:r>
        <w:rPr/>
        <w:t>(CISD had current assets of $48,597,448 and current liabilities of $18,906,779 for a ratio of 2.5704; threshold to receive 10 points was a ratio of 3.00; threshold to receive 8 points was 2.50 to 2.99)</w:t>
      </w:r>
    </w:p>
    <w:p>
      <w:pPr>
        <w:spacing w:after="0" w:line="249" w:lineRule="auto"/>
        <w:sectPr>
          <w:pgSz w:w="14400" w:h="10800" w:orient="landscape"/>
          <w:pgMar w:header="371" w:footer="554" w:top="2420" w:bottom="740" w:left="520" w:right="800"/>
        </w:sectPr>
      </w:pPr>
    </w:p>
    <w:p>
      <w:pPr>
        <w:pStyle w:val="ListParagraph"/>
        <w:numPr>
          <w:ilvl w:val="0"/>
          <w:numId w:val="1"/>
        </w:numPr>
        <w:tabs>
          <w:tab w:pos="883" w:val="left" w:leader="none"/>
          <w:tab w:pos="884" w:val="left" w:leader="none"/>
        </w:tabs>
        <w:spacing w:line="249" w:lineRule="auto" w:before="183" w:after="0"/>
        <w:ind w:left="944" w:right="899" w:hanging="600"/>
        <w:jc w:val="left"/>
        <w:rPr>
          <w:sz w:val="36"/>
        </w:rPr>
      </w:pPr>
      <w:r>
        <w:rPr/>
        <w:drawing>
          <wp:anchor distT="0" distB="0" distL="0" distR="0" allowOverlap="1" layoutInCell="1" locked="0" behindDoc="0" simplePos="0" relativeHeight="1336">
            <wp:simplePos x="0" y="0"/>
            <wp:positionH relativeFrom="page">
              <wp:posOffset>914400</wp:posOffset>
            </wp:positionH>
            <wp:positionV relativeFrom="page">
              <wp:posOffset>304800</wp:posOffset>
            </wp:positionV>
            <wp:extent cx="1667255" cy="638555"/>
            <wp:effectExtent l="0" t="0" r="0" b="0"/>
            <wp:wrapNone/>
            <wp:docPr id="25" name="image2.jpeg" descr=""/>
            <wp:cNvGraphicFramePr>
              <a:graphicFrameLocks noChangeAspect="1"/>
            </wp:cNvGraphicFramePr>
            <a:graphic>
              <a:graphicData uri="http://schemas.openxmlformats.org/drawingml/2006/picture">
                <pic:pic>
                  <pic:nvPicPr>
                    <pic:cNvPr id="26"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3" w:id="18"/>
      <w:bookmarkEnd w:id="18"/>
      <w:r>
        <w:rPr/>
      </w:r>
      <w:bookmarkStart w:name="Slide Number 13" w:id="19"/>
      <w:bookmarkEnd w:id="19"/>
      <w:r>
        <w:rPr>
          <w:sz w:val="36"/>
        </w:rPr>
        <w:t>W</w:t>
      </w:r>
      <w:r>
        <w:rPr>
          <w:sz w:val="36"/>
        </w:rPr>
        <w:t>as the ratio of long-term liabilities to total assets for the school</w:t>
      </w:r>
      <w:r>
        <w:rPr>
          <w:spacing w:val="-47"/>
          <w:sz w:val="36"/>
        </w:rPr>
        <w:t> </w:t>
      </w:r>
      <w:r>
        <w:rPr>
          <w:sz w:val="36"/>
        </w:rPr>
        <w:t>district sufficient to support long-term</w:t>
      </w:r>
      <w:r>
        <w:rPr>
          <w:spacing w:val="-28"/>
          <w:sz w:val="36"/>
        </w:rPr>
        <w:t> </w:t>
      </w:r>
      <w:r>
        <w:rPr>
          <w:sz w:val="36"/>
        </w:rPr>
        <w:t>solvency?</w:t>
      </w:r>
    </w:p>
    <w:p>
      <w:pPr>
        <w:pStyle w:val="BodyText"/>
        <w:rPr>
          <w:sz w:val="40"/>
        </w:rPr>
      </w:pPr>
    </w:p>
    <w:p>
      <w:pPr>
        <w:pStyle w:val="Heading2"/>
        <w:ind w:left="1784"/>
      </w:pPr>
      <w:r>
        <w:rPr/>
        <w:t>CISD Score 2015-2016=8 points</w:t>
      </w:r>
    </w:p>
    <w:p>
      <w:pPr>
        <w:pStyle w:val="BodyText"/>
        <w:spacing w:before="4"/>
        <w:rPr>
          <w:sz w:val="70"/>
        </w:rPr>
      </w:pPr>
    </w:p>
    <w:p>
      <w:pPr>
        <w:pStyle w:val="Heading5"/>
        <w:spacing w:line="249" w:lineRule="auto"/>
        <w:ind w:left="2144" w:right="90" w:hanging="361"/>
      </w:pPr>
      <w:r>
        <w:rPr/>
        <w:t>(CISD had long-term liabilities of $199,716,803 and total assets of $291,436,687 for a ratio of 0.685; threshold to receive 10 points was a ratio of 0.600; threshold to receive 8 points was 0.700)</w:t>
      </w:r>
    </w:p>
    <w:p>
      <w:pPr>
        <w:spacing w:after="0" w:line="249" w:lineRule="auto"/>
        <w:sectPr>
          <w:pgSz w:w="14400" w:h="10800" w:orient="landscape"/>
          <w:pgMar w:header="371" w:footer="554" w:top="2420" w:bottom="860" w:left="640" w:right="660"/>
        </w:sectPr>
      </w:pPr>
    </w:p>
    <w:p>
      <w:pPr>
        <w:pStyle w:val="ListParagraph"/>
        <w:numPr>
          <w:ilvl w:val="0"/>
          <w:numId w:val="1"/>
        </w:numPr>
        <w:tabs>
          <w:tab w:pos="763" w:val="left" w:leader="none"/>
          <w:tab w:pos="764" w:val="left" w:leader="none"/>
          <w:tab w:pos="11061" w:val="left" w:leader="none"/>
        </w:tabs>
        <w:spacing w:line="249" w:lineRule="auto" w:before="183" w:after="0"/>
        <w:ind w:left="824" w:right="307" w:hanging="600"/>
        <w:jc w:val="left"/>
        <w:rPr>
          <w:sz w:val="36"/>
        </w:rPr>
      </w:pPr>
      <w:r>
        <w:rPr/>
        <w:drawing>
          <wp:anchor distT="0" distB="0" distL="0" distR="0" allowOverlap="1" layoutInCell="1" locked="0" behindDoc="0" simplePos="0" relativeHeight="1360">
            <wp:simplePos x="0" y="0"/>
            <wp:positionH relativeFrom="page">
              <wp:posOffset>914400</wp:posOffset>
            </wp:positionH>
            <wp:positionV relativeFrom="page">
              <wp:posOffset>304800</wp:posOffset>
            </wp:positionV>
            <wp:extent cx="1667255" cy="638555"/>
            <wp:effectExtent l="0" t="0" r="0" b="0"/>
            <wp:wrapNone/>
            <wp:docPr id="27" name="image2.jpeg" descr=""/>
            <wp:cNvGraphicFramePr>
              <a:graphicFrameLocks noChangeAspect="1"/>
            </wp:cNvGraphicFramePr>
            <a:graphic>
              <a:graphicData uri="http://schemas.openxmlformats.org/drawingml/2006/picture">
                <pic:pic>
                  <pic:nvPicPr>
                    <pic:cNvPr id="28"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4" w:id="20"/>
      <w:bookmarkEnd w:id="20"/>
      <w:r>
        <w:rPr/>
      </w:r>
      <w:bookmarkStart w:name="Slide Number 14" w:id="21"/>
      <w:bookmarkEnd w:id="21"/>
      <w:r>
        <w:rPr>
          <w:sz w:val="36"/>
        </w:rPr>
        <w:t>D</w:t>
      </w:r>
      <w:r>
        <w:rPr>
          <w:sz w:val="36"/>
        </w:rPr>
        <w:t>id the school district’s general fund revenues equal or exceed expenditures (excluding facilities acquisition</w:t>
      </w:r>
      <w:r>
        <w:rPr>
          <w:spacing w:val="-18"/>
          <w:sz w:val="36"/>
        </w:rPr>
        <w:t> </w:t>
      </w:r>
      <w:r>
        <w:rPr>
          <w:sz w:val="36"/>
        </w:rPr>
        <w:t>and</w:t>
      </w:r>
      <w:r>
        <w:rPr>
          <w:spacing w:val="-8"/>
          <w:sz w:val="36"/>
        </w:rPr>
        <w:t> </w:t>
      </w:r>
      <w:r>
        <w:rPr>
          <w:sz w:val="36"/>
        </w:rPr>
        <w:t>construction)?</w:t>
        <w:tab/>
        <w:t>If</w:t>
      </w:r>
      <w:r>
        <w:rPr>
          <w:spacing w:val="-3"/>
          <w:sz w:val="36"/>
        </w:rPr>
        <w:t> </w:t>
      </w:r>
      <w:r>
        <w:rPr>
          <w:sz w:val="36"/>
        </w:rPr>
        <w:t>not,</w:t>
      </w:r>
      <w:r>
        <w:rPr>
          <w:spacing w:val="-3"/>
          <w:sz w:val="36"/>
        </w:rPr>
        <w:t> </w:t>
      </w:r>
      <w:r>
        <w:rPr>
          <w:spacing w:val="-4"/>
          <w:sz w:val="36"/>
        </w:rPr>
        <w:t>was</w:t>
      </w:r>
      <w:r>
        <w:rPr>
          <w:spacing w:val="-2"/>
          <w:w w:val="99"/>
          <w:sz w:val="36"/>
        </w:rPr>
        <w:t> </w:t>
      </w:r>
      <w:r>
        <w:rPr>
          <w:sz w:val="36"/>
        </w:rPr>
        <w:t>the school district’s number of </w:t>
      </w:r>
      <w:r>
        <w:rPr>
          <w:spacing w:val="-3"/>
          <w:sz w:val="36"/>
        </w:rPr>
        <w:t>days </w:t>
      </w:r>
      <w:r>
        <w:rPr>
          <w:sz w:val="36"/>
        </w:rPr>
        <w:t>of cash on hand greater than or equal to 60</w:t>
      </w:r>
      <w:r>
        <w:rPr>
          <w:spacing w:val="-14"/>
          <w:sz w:val="36"/>
        </w:rPr>
        <w:t> </w:t>
      </w:r>
      <w:r>
        <w:rPr>
          <w:sz w:val="36"/>
        </w:rPr>
        <w:t>days?</w:t>
      </w:r>
    </w:p>
    <w:p>
      <w:pPr>
        <w:pStyle w:val="BodyText"/>
        <w:rPr>
          <w:sz w:val="40"/>
        </w:rPr>
      </w:pPr>
    </w:p>
    <w:p>
      <w:pPr>
        <w:pStyle w:val="Heading2"/>
      </w:pPr>
      <w:r>
        <w:rPr/>
        <w:t>CISD Score 2015-2016=10 points</w:t>
      </w:r>
    </w:p>
    <w:p>
      <w:pPr>
        <w:pStyle w:val="BodyText"/>
        <w:spacing w:before="4"/>
        <w:rPr>
          <w:sz w:val="70"/>
        </w:rPr>
      </w:pPr>
    </w:p>
    <w:p>
      <w:pPr>
        <w:pStyle w:val="Heading5"/>
        <w:tabs>
          <w:tab w:pos="7417" w:val="left" w:leader="none"/>
        </w:tabs>
        <w:spacing w:line="249" w:lineRule="auto"/>
        <w:ind w:left="2023" w:right="310" w:hanging="360"/>
      </w:pPr>
      <w:r>
        <w:rPr/>
        <w:t>(CISD had general fund revenues of $89,952,857 and expenditures (excluding facilities acquisition and construction)</w:t>
      </w:r>
      <w:r>
        <w:rPr>
          <w:spacing w:val="-10"/>
        </w:rPr>
        <w:t> </w:t>
      </w:r>
      <w:r>
        <w:rPr/>
        <w:t>of</w:t>
      </w:r>
      <w:r>
        <w:rPr>
          <w:spacing w:val="-5"/>
        </w:rPr>
        <w:t> </w:t>
      </w:r>
      <w:r>
        <w:rPr/>
        <w:t>$92,657,823.</w:t>
        <w:tab/>
        <w:t>However, CISD had</w:t>
      </w:r>
      <w:r>
        <w:rPr>
          <w:spacing w:val="-7"/>
        </w:rPr>
        <w:t> </w:t>
      </w:r>
      <w:r>
        <w:rPr/>
        <w:t>131</w:t>
      </w:r>
      <w:r>
        <w:rPr>
          <w:spacing w:val="-2"/>
        </w:rPr>
        <w:t> </w:t>
      </w:r>
      <w:r>
        <w:rPr/>
        <w:t>days</w:t>
      </w:r>
      <w:r>
        <w:rPr>
          <w:w w:val="100"/>
        </w:rPr>
        <w:t> </w:t>
      </w:r>
      <w:r>
        <w:rPr/>
        <w:t>of cash on</w:t>
      </w:r>
      <w:r>
        <w:rPr>
          <w:spacing w:val="-7"/>
        </w:rPr>
        <w:t> </w:t>
      </w:r>
      <w:r>
        <w:rPr/>
        <w:t>hand.)</w:t>
      </w:r>
    </w:p>
    <w:p>
      <w:pPr>
        <w:spacing w:after="0" w:line="249" w:lineRule="auto"/>
        <w:sectPr>
          <w:pgSz w:w="14400" w:h="10800" w:orient="landscape"/>
          <w:pgMar w:header="371" w:footer="554" w:top="2420" w:bottom="1000" w:left="760" w:right="640"/>
        </w:sectPr>
      </w:pPr>
    </w:p>
    <w:p>
      <w:pPr>
        <w:pStyle w:val="ListParagraph"/>
        <w:numPr>
          <w:ilvl w:val="0"/>
          <w:numId w:val="1"/>
        </w:numPr>
        <w:tabs>
          <w:tab w:pos="924" w:val="left" w:leader="none"/>
          <w:tab w:pos="925" w:val="left" w:leader="none"/>
        </w:tabs>
        <w:spacing w:line="249" w:lineRule="auto" w:before="183" w:after="0"/>
        <w:ind w:left="924" w:right="700" w:hanging="700"/>
        <w:jc w:val="left"/>
        <w:rPr>
          <w:sz w:val="36"/>
        </w:rPr>
      </w:pPr>
      <w:r>
        <w:rPr/>
        <w:drawing>
          <wp:anchor distT="0" distB="0" distL="0" distR="0" allowOverlap="1" layoutInCell="1" locked="0" behindDoc="0" simplePos="0" relativeHeight="1384">
            <wp:simplePos x="0" y="0"/>
            <wp:positionH relativeFrom="page">
              <wp:posOffset>914400</wp:posOffset>
            </wp:positionH>
            <wp:positionV relativeFrom="page">
              <wp:posOffset>304800</wp:posOffset>
            </wp:positionV>
            <wp:extent cx="1667255" cy="638555"/>
            <wp:effectExtent l="0" t="0" r="0" b="0"/>
            <wp:wrapNone/>
            <wp:docPr id="29" name="image2.jpeg" descr=""/>
            <wp:cNvGraphicFramePr>
              <a:graphicFrameLocks noChangeAspect="1"/>
            </wp:cNvGraphicFramePr>
            <a:graphic>
              <a:graphicData uri="http://schemas.openxmlformats.org/drawingml/2006/picture">
                <pic:pic>
                  <pic:nvPicPr>
                    <pic:cNvPr id="30"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5" w:id="22"/>
      <w:bookmarkEnd w:id="22"/>
      <w:r>
        <w:rPr/>
      </w:r>
      <w:bookmarkStart w:name="Slide Number 15" w:id="23"/>
      <w:bookmarkEnd w:id="23"/>
      <w:r>
        <w:rPr>
          <w:sz w:val="36"/>
        </w:rPr>
        <w:t>W</w:t>
      </w:r>
      <w:r>
        <w:rPr>
          <w:sz w:val="36"/>
        </w:rPr>
        <w:t>as the debt service coverage ratio sufficient to meet the required</w:t>
      </w:r>
      <w:r>
        <w:rPr>
          <w:spacing w:val="-49"/>
          <w:sz w:val="36"/>
        </w:rPr>
        <w:t> </w:t>
      </w:r>
      <w:r>
        <w:rPr>
          <w:sz w:val="36"/>
        </w:rPr>
        <w:t>debt debt</w:t>
      </w:r>
      <w:r>
        <w:rPr>
          <w:spacing w:val="-13"/>
          <w:sz w:val="36"/>
        </w:rPr>
        <w:t> </w:t>
      </w:r>
      <w:r>
        <w:rPr>
          <w:sz w:val="36"/>
        </w:rPr>
        <w:t>service?</w:t>
      </w:r>
    </w:p>
    <w:p>
      <w:pPr>
        <w:pStyle w:val="BodyText"/>
        <w:rPr>
          <w:sz w:val="40"/>
        </w:rPr>
      </w:pPr>
    </w:p>
    <w:p>
      <w:pPr>
        <w:pStyle w:val="Heading2"/>
      </w:pPr>
      <w:r>
        <w:rPr/>
        <w:t>CISD Score 2015-2016=8 points</w:t>
      </w:r>
    </w:p>
    <w:p>
      <w:pPr>
        <w:pStyle w:val="BodyText"/>
        <w:spacing w:before="4"/>
        <w:rPr>
          <w:sz w:val="70"/>
        </w:rPr>
      </w:pPr>
    </w:p>
    <w:p>
      <w:pPr>
        <w:pStyle w:val="Heading5"/>
        <w:spacing w:line="249" w:lineRule="auto"/>
        <w:ind w:left="2023" w:right="57" w:hanging="360"/>
      </w:pPr>
      <w:r>
        <w:rPr/>
        <w:t>(CISD debt service ratio was 1.162; threshold to receive 10 points was a ratio of 1.200; threshold to receive 8 points was a ratio of 1.150 to 1.190)</w:t>
      </w:r>
    </w:p>
    <w:p>
      <w:pPr>
        <w:spacing w:after="0" w:line="249" w:lineRule="auto"/>
        <w:sectPr>
          <w:pgSz w:w="14400" w:h="10800" w:orient="landscape"/>
          <w:pgMar w:header="371" w:footer="554" w:top="2420" w:bottom="860" w:left="760" w:right="640"/>
        </w:sectPr>
      </w:pPr>
    </w:p>
    <w:p>
      <w:pPr>
        <w:pStyle w:val="ListParagraph"/>
        <w:numPr>
          <w:ilvl w:val="0"/>
          <w:numId w:val="1"/>
        </w:numPr>
        <w:tabs>
          <w:tab w:pos="884" w:val="left" w:leader="none"/>
          <w:tab w:pos="885" w:val="left" w:leader="none"/>
          <w:tab w:pos="4003" w:val="left" w:leader="none"/>
        </w:tabs>
        <w:spacing w:line="249" w:lineRule="auto" w:before="183" w:after="0"/>
        <w:ind w:left="724" w:right="1057" w:hanging="540"/>
        <w:jc w:val="left"/>
        <w:rPr>
          <w:sz w:val="36"/>
        </w:rPr>
      </w:pPr>
      <w:r>
        <w:rPr/>
        <w:drawing>
          <wp:anchor distT="0" distB="0" distL="0" distR="0" allowOverlap="1" layoutInCell="1" locked="0" behindDoc="0" simplePos="0" relativeHeight="1408">
            <wp:simplePos x="0" y="0"/>
            <wp:positionH relativeFrom="page">
              <wp:posOffset>914400</wp:posOffset>
            </wp:positionH>
            <wp:positionV relativeFrom="page">
              <wp:posOffset>304800</wp:posOffset>
            </wp:positionV>
            <wp:extent cx="1667255" cy="638555"/>
            <wp:effectExtent l="0" t="0" r="0" b="0"/>
            <wp:wrapNone/>
            <wp:docPr id="31" name="image2.jpeg" descr=""/>
            <wp:cNvGraphicFramePr>
              <a:graphicFrameLocks noChangeAspect="1"/>
            </wp:cNvGraphicFramePr>
            <a:graphic>
              <a:graphicData uri="http://schemas.openxmlformats.org/drawingml/2006/picture">
                <pic:pic>
                  <pic:nvPicPr>
                    <pic:cNvPr id="32"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6" w:id="24"/>
      <w:bookmarkEnd w:id="24"/>
      <w:r>
        <w:rPr/>
      </w:r>
      <w:bookmarkStart w:name="Slide Number 16" w:id="25"/>
      <w:bookmarkEnd w:id="25"/>
      <w:r>
        <w:rPr>
          <w:sz w:val="36"/>
        </w:rPr>
        <w:t>W</w:t>
      </w:r>
      <w:r>
        <w:rPr>
          <w:sz w:val="36"/>
        </w:rPr>
        <w:t>as the school district’s administrative cost ratio equal to or less</w:t>
      </w:r>
      <w:r>
        <w:rPr>
          <w:spacing w:val="-42"/>
          <w:sz w:val="36"/>
        </w:rPr>
        <w:t> </w:t>
      </w:r>
      <w:r>
        <w:rPr>
          <w:sz w:val="36"/>
        </w:rPr>
        <w:t>than the</w:t>
      </w:r>
      <w:r>
        <w:rPr>
          <w:spacing w:val="-5"/>
          <w:sz w:val="36"/>
        </w:rPr>
        <w:t> </w:t>
      </w:r>
      <w:r>
        <w:rPr>
          <w:sz w:val="36"/>
        </w:rPr>
        <w:t>threshold</w:t>
      </w:r>
      <w:r>
        <w:rPr>
          <w:spacing w:val="-3"/>
          <w:sz w:val="36"/>
        </w:rPr>
        <w:t> </w:t>
      </w:r>
      <w:r>
        <w:rPr>
          <w:sz w:val="36"/>
        </w:rPr>
        <w:t>ratio?</w:t>
        <w:tab/>
        <w:t>(See range</w:t>
      </w:r>
      <w:r>
        <w:rPr>
          <w:spacing w:val="-3"/>
          <w:sz w:val="36"/>
        </w:rPr>
        <w:t> below.)</w:t>
      </w:r>
    </w:p>
    <w:p>
      <w:pPr>
        <w:pStyle w:val="BodyText"/>
        <w:rPr>
          <w:sz w:val="40"/>
        </w:rPr>
      </w:pPr>
    </w:p>
    <w:p>
      <w:pPr>
        <w:pStyle w:val="BodyText"/>
        <w:rPr>
          <w:sz w:val="40"/>
        </w:rPr>
      </w:pPr>
    </w:p>
    <w:p>
      <w:pPr>
        <w:pStyle w:val="BodyText"/>
        <w:rPr>
          <w:sz w:val="40"/>
        </w:rPr>
      </w:pPr>
    </w:p>
    <w:p>
      <w:pPr>
        <w:pStyle w:val="BodyText"/>
        <w:spacing w:before="6"/>
        <w:rPr>
          <w:sz w:val="54"/>
        </w:rPr>
      </w:pPr>
    </w:p>
    <w:p>
      <w:pPr>
        <w:spacing w:before="0"/>
        <w:ind w:left="1146" w:right="0" w:firstLine="0"/>
        <w:jc w:val="left"/>
        <w:rPr>
          <w:b/>
          <w:sz w:val="64"/>
        </w:rPr>
      </w:pPr>
      <w:r>
        <w:rPr>
          <w:sz w:val="64"/>
        </w:rPr>
        <w:t>CISD Score 2015-2016 = </w:t>
      </w:r>
      <w:r>
        <w:rPr>
          <w:b/>
          <w:sz w:val="64"/>
        </w:rPr>
        <w:t>10 points</w:t>
      </w:r>
    </w:p>
    <w:p>
      <w:pPr>
        <w:pStyle w:val="Heading5"/>
        <w:spacing w:line="264" w:lineRule="auto" w:before="410"/>
        <w:ind w:left="829" w:right="871" w:hanging="1"/>
        <w:jc w:val="center"/>
      </w:pPr>
      <w:r>
        <w:rPr/>
        <w:t>(CISD District Administrative Ratio = 0.0795; threshold for a district with enrollment between 5,000 to 9,999 = 0.10 to</w:t>
      </w:r>
      <w:r>
        <w:rPr>
          <w:spacing w:val="-40"/>
        </w:rPr>
        <w:t> </w:t>
      </w:r>
      <w:r>
        <w:rPr/>
        <w:t>receive 10</w:t>
      </w:r>
      <w:r>
        <w:rPr>
          <w:spacing w:val="-3"/>
        </w:rPr>
        <w:t> </w:t>
      </w:r>
      <w:r>
        <w:rPr/>
        <w:t>points.)</w:t>
      </w:r>
    </w:p>
    <w:p>
      <w:pPr>
        <w:spacing w:after="0" w:line="264" w:lineRule="auto"/>
        <w:jc w:val="center"/>
        <w:sectPr>
          <w:pgSz w:w="14400" w:h="10800" w:orient="landscape"/>
          <w:pgMar w:header="371" w:footer="554" w:top="2420" w:bottom="740" w:left="800" w:right="580"/>
        </w:sectPr>
      </w:pPr>
    </w:p>
    <w:p>
      <w:pPr>
        <w:pStyle w:val="ListParagraph"/>
        <w:numPr>
          <w:ilvl w:val="0"/>
          <w:numId w:val="1"/>
        </w:numPr>
        <w:tabs>
          <w:tab w:pos="985" w:val="left" w:leader="none"/>
        </w:tabs>
        <w:spacing w:line="300" w:lineRule="auto" w:before="183" w:after="0"/>
        <w:ind w:left="1044" w:right="877" w:hanging="700"/>
        <w:jc w:val="left"/>
        <w:rPr>
          <w:sz w:val="36"/>
        </w:rPr>
      </w:pPr>
      <w:r>
        <w:rPr/>
        <w:drawing>
          <wp:anchor distT="0" distB="0" distL="0" distR="0" allowOverlap="1" layoutInCell="1" locked="0" behindDoc="0" simplePos="0" relativeHeight="1432">
            <wp:simplePos x="0" y="0"/>
            <wp:positionH relativeFrom="page">
              <wp:posOffset>914400</wp:posOffset>
            </wp:positionH>
            <wp:positionV relativeFrom="page">
              <wp:posOffset>304800</wp:posOffset>
            </wp:positionV>
            <wp:extent cx="1667255" cy="638555"/>
            <wp:effectExtent l="0" t="0" r="0" b="0"/>
            <wp:wrapNone/>
            <wp:docPr id="33" name="image2.jpeg" descr=""/>
            <wp:cNvGraphicFramePr>
              <a:graphicFrameLocks noChangeAspect="1"/>
            </wp:cNvGraphicFramePr>
            <a:graphic>
              <a:graphicData uri="http://schemas.openxmlformats.org/drawingml/2006/picture">
                <pic:pic>
                  <pic:nvPicPr>
                    <pic:cNvPr id="34"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7" w:id="26"/>
      <w:bookmarkEnd w:id="26"/>
      <w:r>
        <w:rPr/>
      </w:r>
      <w:bookmarkStart w:name="Slide Number 17" w:id="27"/>
      <w:bookmarkEnd w:id="27"/>
      <w:r>
        <w:rPr>
          <w:sz w:val="36"/>
        </w:rPr>
        <w:t>D</w:t>
      </w:r>
      <w:r>
        <w:rPr>
          <w:sz w:val="36"/>
        </w:rPr>
        <w:t>id the school district not have a 15 percent decline in the students to staff ratio over 3 years (total enrollment to total staff)? (If the student enrollment did not decrease, the school district </w:t>
      </w:r>
      <w:r>
        <w:rPr>
          <w:spacing w:val="-3"/>
          <w:sz w:val="36"/>
        </w:rPr>
        <w:t>will </w:t>
      </w:r>
      <w:r>
        <w:rPr>
          <w:sz w:val="36"/>
        </w:rPr>
        <w:t>automatically pass this</w:t>
      </w:r>
      <w:r>
        <w:rPr>
          <w:spacing w:val="-14"/>
          <w:sz w:val="36"/>
        </w:rPr>
        <w:t> </w:t>
      </w:r>
      <w:r>
        <w:rPr>
          <w:sz w:val="36"/>
        </w:rPr>
        <w:t>indicator.)</w:t>
      </w:r>
    </w:p>
    <w:p>
      <w:pPr>
        <w:pStyle w:val="BodyText"/>
        <w:rPr>
          <w:sz w:val="40"/>
        </w:rPr>
      </w:pPr>
    </w:p>
    <w:p>
      <w:pPr>
        <w:pStyle w:val="BodyText"/>
        <w:rPr>
          <w:sz w:val="47"/>
        </w:rPr>
      </w:pPr>
    </w:p>
    <w:p>
      <w:pPr>
        <w:spacing w:before="0"/>
        <w:ind w:left="1306" w:right="0" w:firstLine="0"/>
        <w:jc w:val="left"/>
        <w:rPr>
          <w:b/>
          <w:sz w:val="64"/>
        </w:rPr>
      </w:pPr>
      <w:r>
        <w:rPr>
          <w:sz w:val="64"/>
        </w:rPr>
        <w:t>CISD Score 2015-2016 = </w:t>
      </w:r>
      <w:r>
        <w:rPr>
          <w:b/>
          <w:sz w:val="64"/>
        </w:rPr>
        <w:t>10 points</w:t>
      </w:r>
    </w:p>
    <w:p>
      <w:pPr>
        <w:pStyle w:val="Heading5"/>
        <w:spacing w:line="278" w:lineRule="auto" w:before="410"/>
        <w:ind w:left="2369" w:hanging="1316"/>
      </w:pPr>
      <w:r>
        <w:rPr/>
        <w:t>(CISD had a 1.45% increase in the students to staff ratio over 3 years and a 256 student increase in enrollment.)</w:t>
      </w:r>
    </w:p>
    <w:p>
      <w:pPr>
        <w:spacing w:after="0" w:line="278" w:lineRule="auto"/>
        <w:sectPr>
          <w:pgSz w:w="14400" w:h="10800" w:orient="landscape"/>
          <w:pgMar w:header="371" w:footer="554" w:top="2420" w:bottom="860" w:left="640" w:right="760"/>
        </w:sectPr>
      </w:pPr>
    </w:p>
    <w:p>
      <w:pPr>
        <w:pStyle w:val="ListParagraph"/>
        <w:numPr>
          <w:ilvl w:val="0"/>
          <w:numId w:val="1"/>
        </w:numPr>
        <w:tabs>
          <w:tab w:pos="925" w:val="left" w:leader="none"/>
        </w:tabs>
        <w:spacing w:line="249" w:lineRule="auto" w:before="183" w:after="0"/>
        <w:ind w:left="824" w:right="318" w:hanging="600"/>
        <w:jc w:val="both"/>
        <w:rPr>
          <w:sz w:val="36"/>
        </w:rPr>
      </w:pPr>
      <w:r>
        <w:rPr/>
        <w:drawing>
          <wp:anchor distT="0" distB="0" distL="0" distR="0" allowOverlap="1" layoutInCell="1" locked="0" behindDoc="0" simplePos="0" relativeHeight="1456">
            <wp:simplePos x="0" y="0"/>
            <wp:positionH relativeFrom="page">
              <wp:posOffset>914400</wp:posOffset>
            </wp:positionH>
            <wp:positionV relativeFrom="page">
              <wp:posOffset>304800</wp:posOffset>
            </wp:positionV>
            <wp:extent cx="1667255" cy="638555"/>
            <wp:effectExtent l="0" t="0" r="0" b="0"/>
            <wp:wrapNone/>
            <wp:docPr id="35" name="image2.jpeg" descr=""/>
            <wp:cNvGraphicFramePr>
              <a:graphicFrameLocks noChangeAspect="1"/>
            </wp:cNvGraphicFramePr>
            <a:graphic>
              <a:graphicData uri="http://schemas.openxmlformats.org/drawingml/2006/picture">
                <pic:pic>
                  <pic:nvPicPr>
                    <pic:cNvPr id="36"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8" w:id="28"/>
      <w:bookmarkEnd w:id="28"/>
      <w:r>
        <w:rPr/>
      </w:r>
      <w:bookmarkStart w:name="Slide Number 18" w:id="29"/>
      <w:bookmarkEnd w:id="29"/>
      <w:r>
        <w:rPr>
          <w:sz w:val="36"/>
        </w:rPr>
        <w:t>D</w:t>
      </w:r>
      <w:r>
        <w:rPr>
          <w:sz w:val="36"/>
        </w:rPr>
        <w:t>id the comparison of Public Education Information Management System (PEIMS) data to like information in the school district’s AFR result in a</w:t>
      </w:r>
      <w:r>
        <w:rPr>
          <w:spacing w:val="-43"/>
          <w:sz w:val="36"/>
        </w:rPr>
        <w:t> </w:t>
      </w:r>
      <w:r>
        <w:rPr>
          <w:sz w:val="36"/>
        </w:rPr>
        <w:t>total variance of less than 3 percent of all expenditures by</w:t>
      </w:r>
      <w:r>
        <w:rPr>
          <w:spacing w:val="-46"/>
          <w:sz w:val="36"/>
        </w:rPr>
        <w:t> </w:t>
      </w:r>
      <w:r>
        <w:rPr>
          <w:sz w:val="36"/>
        </w:rPr>
        <w:t>function?</w:t>
      </w:r>
    </w:p>
    <w:p>
      <w:pPr>
        <w:pStyle w:val="BodyText"/>
        <w:rPr>
          <w:sz w:val="40"/>
        </w:rPr>
      </w:pPr>
    </w:p>
    <w:p>
      <w:pPr>
        <w:pStyle w:val="BodyText"/>
        <w:rPr>
          <w:sz w:val="40"/>
        </w:rPr>
      </w:pPr>
    </w:p>
    <w:p>
      <w:pPr>
        <w:spacing w:before="240"/>
        <w:ind w:left="1184" w:right="0" w:firstLine="0"/>
        <w:jc w:val="left"/>
        <w:rPr>
          <w:b/>
          <w:sz w:val="56"/>
        </w:rPr>
      </w:pPr>
      <w:r>
        <w:rPr>
          <w:sz w:val="56"/>
        </w:rPr>
        <w:t>CISD Score 2015-2016 = </w:t>
      </w:r>
      <w:r>
        <w:rPr>
          <w:b/>
          <w:sz w:val="56"/>
        </w:rPr>
        <w:t>10 points</w:t>
      </w:r>
    </w:p>
    <w:p>
      <w:pPr>
        <w:pStyle w:val="BodyText"/>
        <w:rPr>
          <w:b/>
          <w:sz w:val="62"/>
        </w:rPr>
      </w:pPr>
    </w:p>
    <w:p>
      <w:pPr>
        <w:pStyle w:val="Heading5"/>
        <w:spacing w:line="278" w:lineRule="auto" w:before="405"/>
      </w:pPr>
      <w:r>
        <w:rPr/>
        <w:t>(CISD Comparison – Sum of differences: 17 / denominator 92,657,820.</w:t>
      </w:r>
    </w:p>
    <w:p>
      <w:pPr>
        <w:spacing w:line="300" w:lineRule="auto" w:before="44"/>
        <w:ind w:left="1184" w:right="1163" w:firstLine="0"/>
        <w:jc w:val="left"/>
        <w:rPr>
          <w:sz w:val="40"/>
        </w:rPr>
      </w:pPr>
      <w:r>
        <w:rPr>
          <w:sz w:val="40"/>
        </w:rPr>
        <w:t>Determination of points: &lt;3.0 = 10 points; &gt;3.0 = 0 points. CISD received 10 points.)</w:t>
      </w:r>
    </w:p>
    <w:p>
      <w:pPr>
        <w:spacing w:after="0" w:line="300" w:lineRule="auto"/>
        <w:jc w:val="left"/>
        <w:rPr>
          <w:sz w:val="40"/>
        </w:rPr>
        <w:sectPr>
          <w:pgSz w:w="14400" w:h="10800" w:orient="landscape"/>
          <w:pgMar w:header="371" w:footer="554" w:top="2420" w:bottom="860" w:left="760" w:right="640"/>
        </w:sectPr>
      </w:pPr>
    </w:p>
    <w:p>
      <w:pPr>
        <w:pStyle w:val="ListParagraph"/>
        <w:numPr>
          <w:ilvl w:val="0"/>
          <w:numId w:val="1"/>
        </w:numPr>
        <w:tabs>
          <w:tab w:pos="1324" w:val="left" w:leader="none"/>
          <w:tab w:pos="1325" w:val="left" w:leader="none"/>
        </w:tabs>
        <w:spacing w:line="249" w:lineRule="auto" w:before="183" w:after="0"/>
        <w:ind w:left="1324" w:right="580" w:hanging="1000"/>
        <w:jc w:val="left"/>
        <w:rPr>
          <w:sz w:val="36"/>
        </w:rPr>
      </w:pPr>
      <w:r>
        <w:rPr/>
        <w:drawing>
          <wp:anchor distT="0" distB="0" distL="0" distR="0" allowOverlap="1" layoutInCell="1" locked="0" behindDoc="0" simplePos="0" relativeHeight="1480">
            <wp:simplePos x="0" y="0"/>
            <wp:positionH relativeFrom="page">
              <wp:posOffset>914400</wp:posOffset>
            </wp:positionH>
            <wp:positionV relativeFrom="page">
              <wp:posOffset>304800</wp:posOffset>
            </wp:positionV>
            <wp:extent cx="1667255" cy="638555"/>
            <wp:effectExtent l="0" t="0" r="0" b="0"/>
            <wp:wrapNone/>
            <wp:docPr id="37" name="image2.jpeg" descr=""/>
            <wp:cNvGraphicFramePr>
              <a:graphicFrameLocks noChangeAspect="1"/>
            </wp:cNvGraphicFramePr>
            <a:graphic>
              <a:graphicData uri="http://schemas.openxmlformats.org/drawingml/2006/picture">
                <pic:pic>
                  <pic:nvPicPr>
                    <pic:cNvPr id="38"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19" w:id="30"/>
      <w:bookmarkEnd w:id="30"/>
      <w:r>
        <w:rPr/>
      </w:r>
      <w:bookmarkStart w:name="Slide Number 19" w:id="31"/>
      <w:bookmarkEnd w:id="31"/>
      <w:r>
        <w:rPr>
          <w:sz w:val="36"/>
        </w:rPr>
        <w:t>D</w:t>
      </w:r>
      <w:r>
        <w:rPr>
          <w:sz w:val="36"/>
        </w:rPr>
        <w:t>id the external independent auditor indicate the AFR </w:t>
      </w:r>
      <w:r>
        <w:rPr>
          <w:spacing w:val="-4"/>
          <w:sz w:val="36"/>
        </w:rPr>
        <w:t>was </w:t>
      </w:r>
      <w:r>
        <w:rPr>
          <w:sz w:val="36"/>
        </w:rPr>
        <w:t>free of </w:t>
      </w:r>
      <w:r>
        <w:rPr>
          <w:spacing w:val="-2"/>
          <w:sz w:val="36"/>
        </w:rPr>
        <w:t>any </w:t>
      </w:r>
      <w:r>
        <w:rPr>
          <w:sz w:val="36"/>
        </w:rPr>
        <w:t>instance(s) of material noncompliance for grants, contracts, and </w:t>
      </w:r>
      <w:r>
        <w:rPr>
          <w:spacing w:val="-3"/>
          <w:sz w:val="36"/>
        </w:rPr>
        <w:t>laws </w:t>
      </w:r>
      <w:r>
        <w:rPr>
          <w:sz w:val="36"/>
        </w:rPr>
        <w:t>related to local, state, or federal funds? (The AICPA defines material noncompliance.)</w:t>
      </w:r>
    </w:p>
    <w:p>
      <w:pPr>
        <w:pStyle w:val="BodyText"/>
        <w:spacing w:before="3"/>
        <w:rPr>
          <w:sz w:val="59"/>
        </w:rPr>
      </w:pPr>
    </w:p>
    <w:p>
      <w:pPr>
        <w:spacing w:before="1"/>
        <w:ind w:left="1284" w:right="0" w:firstLine="0"/>
        <w:jc w:val="left"/>
        <w:rPr>
          <w:b/>
          <w:sz w:val="64"/>
        </w:rPr>
      </w:pPr>
      <w:r>
        <w:rPr>
          <w:sz w:val="64"/>
        </w:rPr>
        <w:t>CISD Score 2015-2016 = </w:t>
      </w:r>
      <w:r>
        <w:rPr>
          <w:b/>
          <w:sz w:val="64"/>
        </w:rPr>
        <w:t>10 points</w:t>
      </w:r>
    </w:p>
    <w:p>
      <w:pPr>
        <w:pStyle w:val="Heading5"/>
        <w:tabs>
          <w:tab w:pos="9970" w:val="left" w:leader="none"/>
        </w:tabs>
        <w:spacing w:line="278" w:lineRule="auto" w:before="411"/>
        <w:ind w:left="1284" w:right="1163"/>
      </w:pPr>
      <w:r>
        <w:rPr/>
        <w:t>(CISD had no reported</w:t>
      </w:r>
      <w:r>
        <w:rPr>
          <w:spacing w:val="-14"/>
        </w:rPr>
        <w:t> </w:t>
      </w:r>
      <w:r>
        <w:rPr/>
        <w:t>material</w:t>
      </w:r>
      <w:r>
        <w:rPr>
          <w:spacing w:val="-6"/>
        </w:rPr>
        <w:t> </w:t>
      </w:r>
      <w:r>
        <w:rPr/>
        <w:t>noncompliance.</w:t>
        <w:tab/>
        <w:t>Yes</w:t>
      </w:r>
      <w:r>
        <w:rPr>
          <w:spacing w:val="-3"/>
        </w:rPr>
        <w:t> </w:t>
      </w:r>
      <w:r>
        <w:rPr/>
        <w:t>to</w:t>
      </w:r>
      <w:r>
        <w:rPr>
          <w:spacing w:val="-4"/>
        </w:rPr>
        <w:t> </w:t>
      </w:r>
      <w:r>
        <w:rPr/>
        <w:t>this</w:t>
      </w:r>
      <w:r>
        <w:rPr>
          <w:w w:val="100"/>
        </w:rPr>
        <w:t> </w:t>
      </w:r>
      <w:r>
        <w:rPr/>
        <w:t>question = 10 points; No to this question = 0</w:t>
      </w:r>
      <w:r>
        <w:rPr>
          <w:spacing w:val="-29"/>
        </w:rPr>
        <w:t> </w:t>
      </w:r>
      <w:r>
        <w:rPr/>
        <w:t>points.)</w:t>
      </w:r>
    </w:p>
    <w:p>
      <w:pPr>
        <w:spacing w:after="0" w:line="278" w:lineRule="auto"/>
        <w:sectPr>
          <w:pgSz w:w="14400" w:h="10800" w:orient="landscape"/>
          <w:pgMar w:header="371" w:footer="554" w:top="2420" w:bottom="980" w:left="660" w:right="740"/>
        </w:sectPr>
      </w:pPr>
    </w:p>
    <w:p>
      <w:pPr>
        <w:pStyle w:val="ListParagraph"/>
        <w:numPr>
          <w:ilvl w:val="0"/>
          <w:numId w:val="1"/>
        </w:numPr>
        <w:tabs>
          <w:tab w:pos="865" w:val="left" w:leader="none"/>
        </w:tabs>
        <w:spacing w:line="249" w:lineRule="auto" w:before="183" w:after="0"/>
        <w:ind w:left="924" w:right="1037" w:hanging="700"/>
        <w:jc w:val="both"/>
        <w:rPr>
          <w:sz w:val="36"/>
        </w:rPr>
      </w:pPr>
      <w:r>
        <w:rPr/>
        <w:drawing>
          <wp:anchor distT="0" distB="0" distL="0" distR="0" allowOverlap="1" layoutInCell="1" locked="0" behindDoc="0" simplePos="0" relativeHeight="1504">
            <wp:simplePos x="0" y="0"/>
            <wp:positionH relativeFrom="page">
              <wp:posOffset>914400</wp:posOffset>
            </wp:positionH>
            <wp:positionV relativeFrom="page">
              <wp:posOffset>304800</wp:posOffset>
            </wp:positionV>
            <wp:extent cx="1667255" cy="638555"/>
            <wp:effectExtent l="0" t="0" r="0" b="0"/>
            <wp:wrapNone/>
            <wp:docPr id="39" name="image2.jpeg" descr=""/>
            <wp:cNvGraphicFramePr>
              <a:graphicFrameLocks noChangeAspect="1"/>
            </wp:cNvGraphicFramePr>
            <a:graphic>
              <a:graphicData uri="http://schemas.openxmlformats.org/drawingml/2006/picture">
                <pic:pic>
                  <pic:nvPicPr>
                    <pic:cNvPr id="40" name="image2.jpeg"/>
                    <pic:cNvPicPr/>
                  </pic:nvPicPr>
                  <pic:blipFill>
                    <a:blip r:embed="rId6" cstate="print"/>
                    <a:stretch>
                      <a:fillRect/>
                    </a:stretch>
                  </pic:blipFill>
                  <pic:spPr>
                    <a:xfrm>
                      <a:off x="0" y="0"/>
                      <a:ext cx="1667255" cy="638555"/>
                    </a:xfrm>
                    <a:prstGeom prst="rect">
                      <a:avLst/>
                    </a:prstGeom>
                  </pic:spPr>
                </pic:pic>
              </a:graphicData>
            </a:graphic>
          </wp:anchor>
        </w:drawing>
      </w:r>
      <w:bookmarkStart w:name="Slide Number 20" w:id="32"/>
      <w:bookmarkEnd w:id="32"/>
      <w:r>
        <w:rPr/>
      </w:r>
      <w:bookmarkStart w:name="Slide Number 20" w:id="33"/>
      <w:bookmarkEnd w:id="33"/>
      <w:r>
        <w:rPr>
          <w:sz w:val="36"/>
        </w:rPr>
        <w:t>D</w:t>
      </w:r>
      <w:r>
        <w:rPr>
          <w:sz w:val="36"/>
        </w:rPr>
        <w:t>id the school district not receive an adjusted repayment schedule</w:t>
      </w:r>
      <w:r>
        <w:rPr>
          <w:spacing w:val="-42"/>
          <w:sz w:val="36"/>
        </w:rPr>
        <w:t> </w:t>
      </w:r>
      <w:r>
        <w:rPr>
          <w:sz w:val="36"/>
        </w:rPr>
        <w:t>for more than one fiscal </w:t>
      </w:r>
      <w:r>
        <w:rPr>
          <w:spacing w:val="-3"/>
          <w:sz w:val="36"/>
        </w:rPr>
        <w:t>year </w:t>
      </w:r>
      <w:r>
        <w:rPr>
          <w:sz w:val="36"/>
        </w:rPr>
        <w:t>for an over allocation of Foundation School Program (FSP) funds as a result of a financial</w:t>
      </w:r>
      <w:r>
        <w:rPr>
          <w:spacing w:val="-45"/>
          <w:sz w:val="36"/>
        </w:rPr>
        <w:t> </w:t>
      </w:r>
      <w:r>
        <w:rPr>
          <w:sz w:val="36"/>
        </w:rPr>
        <w:t>hardship?</w:t>
      </w:r>
    </w:p>
    <w:p>
      <w:pPr>
        <w:pStyle w:val="BodyText"/>
        <w:spacing w:before="3"/>
        <w:rPr>
          <w:sz w:val="59"/>
        </w:rPr>
      </w:pPr>
    </w:p>
    <w:p>
      <w:pPr>
        <w:spacing w:before="1"/>
        <w:ind w:left="1184" w:right="0" w:firstLine="0"/>
        <w:jc w:val="left"/>
        <w:rPr>
          <w:b/>
          <w:sz w:val="64"/>
        </w:rPr>
      </w:pPr>
      <w:r>
        <w:rPr>
          <w:sz w:val="64"/>
        </w:rPr>
        <w:t>CISD Score 2015-2016 = </w:t>
      </w:r>
      <w:r>
        <w:rPr>
          <w:b/>
          <w:sz w:val="64"/>
        </w:rPr>
        <w:t>10 points</w:t>
      </w:r>
    </w:p>
    <w:p>
      <w:pPr>
        <w:pStyle w:val="Heading5"/>
        <w:tabs>
          <w:tab w:pos="9270" w:val="left" w:leader="none"/>
        </w:tabs>
        <w:spacing w:before="411"/>
      </w:pPr>
      <w:r>
        <w:rPr/>
        <w:t>(CISD had no adjusted</w:t>
      </w:r>
      <w:r>
        <w:rPr>
          <w:spacing w:val="-11"/>
        </w:rPr>
        <w:t> </w:t>
      </w:r>
      <w:r>
        <w:rPr/>
        <w:t>repayment</w:t>
      </w:r>
      <w:r>
        <w:rPr>
          <w:spacing w:val="-6"/>
        </w:rPr>
        <w:t> </w:t>
      </w:r>
      <w:r>
        <w:rPr/>
        <w:t>schedule.</w:t>
        <w:tab/>
        <w:t>Yes to this</w:t>
      </w:r>
      <w:r>
        <w:rPr>
          <w:spacing w:val="-7"/>
        </w:rPr>
        <w:t> </w:t>
      </w:r>
      <w:r>
        <w:rPr/>
        <w:t>question</w:t>
      </w:r>
    </w:p>
    <w:p>
      <w:pPr>
        <w:spacing w:before="75"/>
        <w:ind w:left="1184" w:right="0" w:firstLine="0"/>
        <w:jc w:val="left"/>
        <w:rPr>
          <w:sz w:val="40"/>
        </w:rPr>
      </w:pPr>
      <w:r>
        <w:rPr>
          <w:sz w:val="40"/>
        </w:rPr>
        <w:t>= 10 points; No to this question = 0 points.)</w:t>
      </w:r>
    </w:p>
    <w:p>
      <w:pPr>
        <w:spacing w:after="0"/>
        <w:jc w:val="left"/>
        <w:rPr>
          <w:sz w:val="40"/>
        </w:rPr>
        <w:sectPr>
          <w:pgSz w:w="14400" w:h="10800" w:orient="landscape"/>
          <w:pgMar w:header="371" w:footer="554" w:top="2420" w:bottom="1040" w:left="760" w:right="640"/>
        </w:sectPr>
      </w:pPr>
    </w:p>
    <w:p>
      <w:pPr>
        <w:pStyle w:val="BodyText"/>
        <w:rPr>
          <w:rFonts w:ascii="Times New Roman"/>
          <w:sz w:val="20"/>
        </w:rPr>
      </w:pPr>
      <w:r>
        <w:rPr/>
        <w:drawing>
          <wp:anchor distT="0" distB="0" distL="0" distR="0" allowOverlap="1" layoutInCell="1" locked="0" behindDoc="0" simplePos="0" relativeHeight="1528">
            <wp:simplePos x="0" y="0"/>
            <wp:positionH relativeFrom="page">
              <wp:posOffset>914400</wp:posOffset>
            </wp:positionH>
            <wp:positionV relativeFrom="page">
              <wp:posOffset>304800</wp:posOffset>
            </wp:positionV>
            <wp:extent cx="1667255" cy="638555"/>
            <wp:effectExtent l="0" t="0" r="0" b="0"/>
            <wp:wrapNone/>
            <wp:docPr id="41" name="image2.jpeg" descr=""/>
            <wp:cNvGraphicFramePr>
              <a:graphicFrameLocks noChangeAspect="1"/>
            </wp:cNvGraphicFramePr>
            <a:graphic>
              <a:graphicData uri="http://schemas.openxmlformats.org/drawingml/2006/picture">
                <pic:pic>
                  <pic:nvPicPr>
                    <pic:cNvPr id="42"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rFonts w:ascii="Times New Roman"/>
          <w:sz w:val="20"/>
        </w:rPr>
      </w:pPr>
    </w:p>
    <w:p>
      <w:pPr>
        <w:pStyle w:val="BodyText"/>
        <w:spacing w:before="10" w:after="1"/>
        <w:rPr>
          <w:rFonts w:ascii="Times New Roman"/>
          <w:sz w:val="25"/>
        </w:rPr>
      </w:pPr>
    </w:p>
    <w:tbl>
      <w:tblPr>
        <w:tblW w:w="0" w:type="auto"/>
        <w:jc w:val="left"/>
        <w:tblInd w:w="414" w:type="dxa"/>
        <w:tblBorders>
          <w:top w:val="single" w:sz="5" w:space="0" w:color="D5D5D5"/>
          <w:left w:val="single" w:sz="5" w:space="0" w:color="D5D5D5"/>
          <w:bottom w:val="single" w:sz="5" w:space="0" w:color="D5D5D5"/>
          <w:right w:val="single" w:sz="5" w:space="0" w:color="D5D5D5"/>
          <w:insideH w:val="single" w:sz="5" w:space="0" w:color="D5D5D5"/>
          <w:insideV w:val="single" w:sz="5" w:space="0" w:color="D5D5D5"/>
        </w:tblBorders>
        <w:tblLayout w:type="fixed"/>
        <w:tblCellMar>
          <w:top w:w="0" w:type="dxa"/>
          <w:left w:w="0" w:type="dxa"/>
          <w:bottom w:w="0" w:type="dxa"/>
          <w:right w:w="0" w:type="dxa"/>
        </w:tblCellMar>
        <w:tblLook w:val="01E0"/>
      </w:tblPr>
      <w:tblGrid>
        <w:gridCol w:w="2339"/>
        <w:gridCol w:w="1240"/>
        <w:gridCol w:w="945"/>
        <w:gridCol w:w="945"/>
        <w:gridCol w:w="1040"/>
        <w:gridCol w:w="980"/>
        <w:gridCol w:w="933"/>
        <w:gridCol w:w="898"/>
        <w:gridCol w:w="945"/>
        <w:gridCol w:w="898"/>
        <w:gridCol w:w="780"/>
      </w:tblGrid>
      <w:tr>
        <w:trPr>
          <w:trHeight w:val="201" w:hRule="exact"/>
        </w:trPr>
        <w:tc>
          <w:tcPr>
            <w:tcW w:w="3579" w:type="dxa"/>
            <w:gridSpan w:val="2"/>
          </w:tcPr>
          <w:p>
            <w:pPr>
              <w:pStyle w:val="TableParagraph"/>
              <w:spacing w:before="12"/>
              <w:ind w:left="23"/>
              <w:rPr>
                <w:b/>
                <w:sz w:val="15"/>
              </w:rPr>
            </w:pPr>
            <w:bookmarkStart w:name="Slide Number 21" w:id="34"/>
            <w:bookmarkEnd w:id="34"/>
            <w:r>
              <w:rPr/>
            </w:r>
            <w:r>
              <w:rPr>
                <w:b/>
                <w:sz w:val="15"/>
              </w:rPr>
              <w:t>CARROLL  INDEPENDENT  SCHOOL DISTRICT</w:t>
            </w: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Style w:val="TableParagraph"/>
              <w:ind w:left="23"/>
              <w:rPr>
                <w:b/>
                <w:sz w:val="15"/>
              </w:rPr>
            </w:pPr>
            <w:r>
              <w:rPr>
                <w:b/>
                <w:sz w:val="15"/>
              </w:rPr>
              <w:t>2017 SCHOOL  FIRST REPORT</w:t>
            </w: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48" w:hRule="exact"/>
        </w:trPr>
        <w:tc>
          <w:tcPr>
            <w:tcW w:w="6509" w:type="dxa"/>
            <w:gridSpan w:val="5"/>
          </w:tcPr>
          <w:p>
            <w:pPr>
              <w:pStyle w:val="TableParagraph"/>
              <w:spacing w:before="11"/>
              <w:ind w:left="307"/>
              <w:rPr>
                <w:rFonts w:ascii="Times New Roman"/>
                <w:b/>
                <w:sz w:val="19"/>
              </w:rPr>
            </w:pPr>
            <w:r>
              <w:rPr>
                <w:rFonts w:ascii="Times New Roman"/>
                <w:b/>
                <w:sz w:val="19"/>
              </w:rPr>
              <w:t>Reimbursements Received by the Superintendent and Board Members</w:t>
            </w: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48" w:hRule="exact"/>
        </w:trPr>
        <w:tc>
          <w:tcPr>
            <w:tcW w:w="2339" w:type="dxa"/>
          </w:tcPr>
          <w:p>
            <w:pP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Style w:val="TableParagraph"/>
              <w:spacing w:before="12"/>
              <w:ind w:left="23"/>
              <w:rPr>
                <w:sz w:val="15"/>
              </w:rPr>
            </w:pPr>
            <w:r>
              <w:rPr>
                <w:sz w:val="15"/>
              </w:rPr>
              <w:t>For the Twelve-Month  Period</w:t>
            </w: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Style w:val="TableParagraph"/>
              <w:ind w:left="23"/>
              <w:rPr>
                <w:sz w:val="15"/>
              </w:rPr>
            </w:pPr>
            <w:r>
              <w:rPr>
                <w:sz w:val="15"/>
              </w:rPr>
              <w:t>Ended August 31,  2016</w:t>
            </w: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2339" w:type="dxa"/>
          </w:tcPr>
          <w:p>
            <w:pPr/>
          </w:p>
        </w:tc>
        <w:tc>
          <w:tcPr>
            <w:tcW w:w="1240" w:type="dxa"/>
          </w:tcPr>
          <w:p>
            <w:pPr>
              <w:pStyle w:val="TableParagraph"/>
              <w:ind w:left="437"/>
              <w:rPr>
                <w:sz w:val="15"/>
              </w:rPr>
            </w:pPr>
            <w:r>
              <w:rPr>
                <w:sz w:val="15"/>
              </w:rPr>
              <w:t>David</w:t>
            </w:r>
          </w:p>
        </w:tc>
        <w:tc>
          <w:tcPr>
            <w:tcW w:w="945" w:type="dxa"/>
          </w:tcPr>
          <w:p>
            <w:pPr>
              <w:pStyle w:val="TableParagraph"/>
              <w:ind w:left="295"/>
              <w:rPr>
                <w:sz w:val="15"/>
              </w:rPr>
            </w:pPr>
            <w:r>
              <w:rPr>
                <w:sz w:val="15"/>
              </w:rPr>
              <w:t>Chris</w:t>
            </w:r>
          </w:p>
        </w:tc>
        <w:tc>
          <w:tcPr>
            <w:tcW w:w="945" w:type="dxa"/>
          </w:tcPr>
          <w:p>
            <w:pPr>
              <w:pStyle w:val="TableParagraph"/>
              <w:ind w:left="295"/>
              <w:rPr>
                <w:sz w:val="15"/>
              </w:rPr>
            </w:pPr>
            <w:r>
              <w:rPr>
                <w:sz w:val="15"/>
              </w:rPr>
              <w:t>Read</w:t>
            </w:r>
          </w:p>
        </w:tc>
        <w:tc>
          <w:tcPr>
            <w:tcW w:w="1040" w:type="dxa"/>
          </w:tcPr>
          <w:p>
            <w:pPr>
              <w:pStyle w:val="TableParagraph"/>
              <w:ind w:left="328" w:right="317"/>
              <w:jc w:val="center"/>
              <w:rPr>
                <w:sz w:val="15"/>
              </w:rPr>
            </w:pPr>
            <w:r>
              <w:rPr>
                <w:sz w:val="15"/>
              </w:rPr>
              <w:t>Todd</w:t>
            </w:r>
          </w:p>
        </w:tc>
        <w:tc>
          <w:tcPr>
            <w:tcW w:w="980" w:type="dxa"/>
          </w:tcPr>
          <w:p>
            <w:pPr>
              <w:pStyle w:val="TableParagraph"/>
              <w:ind w:left="271"/>
              <w:rPr>
                <w:sz w:val="15"/>
              </w:rPr>
            </w:pPr>
            <w:r>
              <w:rPr>
                <w:sz w:val="15"/>
              </w:rPr>
              <w:t>Danny</w:t>
            </w:r>
          </w:p>
        </w:tc>
        <w:tc>
          <w:tcPr>
            <w:tcW w:w="933" w:type="dxa"/>
          </w:tcPr>
          <w:p>
            <w:pPr>
              <w:pStyle w:val="TableParagraph"/>
              <w:ind w:left="307"/>
              <w:rPr>
                <w:sz w:val="15"/>
              </w:rPr>
            </w:pPr>
            <w:r>
              <w:rPr>
                <w:sz w:val="15"/>
              </w:rPr>
              <w:t>Matt</w:t>
            </w:r>
          </w:p>
        </w:tc>
        <w:tc>
          <w:tcPr>
            <w:tcW w:w="898" w:type="dxa"/>
          </w:tcPr>
          <w:p>
            <w:pPr>
              <w:pStyle w:val="TableParagraph"/>
              <w:ind w:left="271"/>
              <w:rPr>
                <w:sz w:val="15"/>
              </w:rPr>
            </w:pPr>
            <w:r>
              <w:rPr>
                <w:sz w:val="15"/>
              </w:rPr>
              <w:t>Sheri</w:t>
            </w:r>
          </w:p>
        </w:tc>
        <w:tc>
          <w:tcPr>
            <w:tcW w:w="945" w:type="dxa"/>
          </w:tcPr>
          <w:p>
            <w:pPr>
              <w:pStyle w:val="TableParagraph"/>
              <w:ind w:left="188"/>
              <w:rPr>
                <w:sz w:val="15"/>
              </w:rPr>
            </w:pPr>
            <w:r>
              <w:rPr>
                <w:sz w:val="15"/>
              </w:rPr>
              <w:t>Michelle</w:t>
            </w:r>
          </w:p>
        </w:tc>
        <w:tc>
          <w:tcPr>
            <w:tcW w:w="898" w:type="dxa"/>
          </w:tcPr>
          <w:p>
            <w:pPr>
              <w:pStyle w:val="TableParagraph"/>
              <w:ind w:left="188"/>
              <w:rPr>
                <w:sz w:val="15"/>
              </w:rPr>
            </w:pPr>
            <w:r>
              <w:rPr>
                <w:sz w:val="15"/>
              </w:rPr>
              <w:t>Bradley</w:t>
            </w:r>
          </w:p>
        </w:tc>
        <w:tc>
          <w:tcPr>
            <w:tcW w:w="780" w:type="dxa"/>
          </w:tcPr>
          <w:p>
            <w:pPr/>
          </w:p>
        </w:tc>
      </w:tr>
      <w:tr>
        <w:trPr>
          <w:trHeight w:val="201" w:hRule="exact"/>
        </w:trPr>
        <w:tc>
          <w:tcPr>
            <w:tcW w:w="2339" w:type="dxa"/>
          </w:tcPr>
          <w:p>
            <w:pPr/>
          </w:p>
        </w:tc>
        <w:tc>
          <w:tcPr>
            <w:tcW w:w="1240" w:type="dxa"/>
          </w:tcPr>
          <w:p>
            <w:pPr>
              <w:pStyle w:val="TableParagraph"/>
              <w:ind w:left="401"/>
              <w:rPr>
                <w:sz w:val="15"/>
              </w:rPr>
            </w:pPr>
            <w:r>
              <w:rPr>
                <w:sz w:val="15"/>
              </w:rPr>
              <w:t>Faltys</w:t>
            </w:r>
          </w:p>
        </w:tc>
        <w:tc>
          <w:tcPr>
            <w:tcW w:w="945" w:type="dxa"/>
          </w:tcPr>
          <w:p>
            <w:pPr>
              <w:pStyle w:val="TableParagraph"/>
              <w:ind w:left="248"/>
              <w:rPr>
                <w:sz w:val="15"/>
              </w:rPr>
            </w:pPr>
            <w:r>
              <w:rPr>
                <w:sz w:val="15"/>
              </w:rPr>
              <w:t>Archer</w:t>
            </w:r>
          </w:p>
        </w:tc>
        <w:tc>
          <w:tcPr>
            <w:tcW w:w="945" w:type="dxa"/>
          </w:tcPr>
          <w:p>
            <w:pPr>
              <w:pStyle w:val="TableParagraph"/>
              <w:ind w:left="248"/>
              <w:rPr>
                <w:sz w:val="15"/>
              </w:rPr>
            </w:pPr>
            <w:r>
              <w:rPr>
                <w:sz w:val="15"/>
              </w:rPr>
              <w:t>Ballew</w:t>
            </w:r>
          </w:p>
        </w:tc>
        <w:tc>
          <w:tcPr>
            <w:tcW w:w="1040" w:type="dxa"/>
          </w:tcPr>
          <w:p>
            <w:pPr>
              <w:pStyle w:val="TableParagraph"/>
              <w:ind w:left="271"/>
              <w:rPr>
                <w:sz w:val="15"/>
              </w:rPr>
            </w:pPr>
            <w:r>
              <w:rPr>
                <w:sz w:val="15"/>
              </w:rPr>
              <w:t>Carlton</w:t>
            </w:r>
          </w:p>
        </w:tc>
        <w:tc>
          <w:tcPr>
            <w:tcW w:w="980" w:type="dxa"/>
          </w:tcPr>
          <w:p>
            <w:pPr>
              <w:pStyle w:val="TableParagraph"/>
              <w:ind w:left="295"/>
              <w:rPr>
                <w:sz w:val="15"/>
              </w:rPr>
            </w:pPr>
            <w:r>
              <w:rPr>
                <w:sz w:val="15"/>
              </w:rPr>
              <w:t>Gilpin</w:t>
            </w:r>
          </w:p>
        </w:tc>
        <w:tc>
          <w:tcPr>
            <w:tcW w:w="933" w:type="dxa"/>
          </w:tcPr>
          <w:p>
            <w:pPr>
              <w:pStyle w:val="TableParagraph"/>
              <w:ind w:left="153"/>
              <w:rPr>
                <w:sz w:val="15"/>
              </w:rPr>
            </w:pPr>
            <w:r>
              <w:rPr>
                <w:sz w:val="15"/>
              </w:rPr>
              <w:t>Kormann</w:t>
            </w:r>
          </w:p>
        </w:tc>
        <w:tc>
          <w:tcPr>
            <w:tcW w:w="898" w:type="dxa"/>
          </w:tcPr>
          <w:p>
            <w:pPr>
              <w:pStyle w:val="TableParagraph"/>
              <w:ind w:left="283"/>
              <w:rPr>
                <w:sz w:val="15"/>
              </w:rPr>
            </w:pPr>
            <w:r>
              <w:rPr>
                <w:sz w:val="15"/>
              </w:rPr>
              <w:t>Mills</w:t>
            </w:r>
          </w:p>
        </w:tc>
        <w:tc>
          <w:tcPr>
            <w:tcW w:w="945" w:type="dxa"/>
          </w:tcPr>
          <w:p>
            <w:pPr>
              <w:pStyle w:val="TableParagraph"/>
              <w:ind w:left="259"/>
              <w:rPr>
                <w:sz w:val="15"/>
              </w:rPr>
            </w:pPr>
            <w:r>
              <w:rPr>
                <w:sz w:val="15"/>
              </w:rPr>
              <w:t>Moore</w:t>
            </w:r>
          </w:p>
        </w:tc>
        <w:tc>
          <w:tcPr>
            <w:tcW w:w="898" w:type="dxa"/>
          </w:tcPr>
          <w:p>
            <w:pPr>
              <w:pStyle w:val="TableParagraph"/>
              <w:ind w:left="236"/>
              <w:rPr>
                <w:sz w:val="15"/>
              </w:rPr>
            </w:pPr>
            <w:r>
              <w:rPr>
                <w:sz w:val="15"/>
              </w:rPr>
              <w:t>Taylor</w:t>
            </w:r>
          </w:p>
        </w:tc>
        <w:tc>
          <w:tcPr>
            <w:tcW w:w="780" w:type="dxa"/>
          </w:tcPr>
          <w:p>
            <w:pPr/>
          </w:p>
        </w:tc>
      </w:tr>
      <w:tr>
        <w:trPr>
          <w:trHeight w:val="201" w:hRule="exact"/>
        </w:trPr>
        <w:tc>
          <w:tcPr>
            <w:tcW w:w="2339" w:type="dxa"/>
            <w:vMerge w:val="restart"/>
          </w:tcPr>
          <w:p>
            <w:pPr>
              <w:pStyle w:val="TableParagraph"/>
              <w:spacing w:before="6"/>
              <w:rPr>
                <w:rFonts w:ascii="Times New Roman"/>
                <w:sz w:val="18"/>
              </w:rPr>
            </w:pPr>
          </w:p>
          <w:p>
            <w:pPr>
              <w:pStyle w:val="TableParagraph"/>
              <w:spacing w:before="0"/>
              <w:ind w:left="23"/>
              <w:rPr>
                <w:sz w:val="15"/>
              </w:rPr>
            </w:pPr>
            <w:r>
              <w:rPr>
                <w:sz w:val="15"/>
                <w:u w:val="single"/>
              </w:rPr>
              <w:t>Description of Reimbursements</w:t>
            </w:r>
          </w:p>
        </w:tc>
        <w:tc>
          <w:tcPr>
            <w:tcW w:w="1240" w:type="dxa"/>
            <w:vMerge w:val="restart"/>
          </w:tcPr>
          <w:p>
            <w:pPr>
              <w:pStyle w:val="TableParagraph"/>
              <w:spacing w:before="6"/>
              <w:rPr>
                <w:rFonts w:ascii="Times New Roman"/>
                <w:sz w:val="18"/>
              </w:rPr>
            </w:pPr>
          </w:p>
          <w:p>
            <w:pPr>
              <w:pStyle w:val="TableParagraph"/>
              <w:spacing w:before="0"/>
              <w:ind w:left="106"/>
              <w:rPr>
                <w:sz w:val="15"/>
              </w:rPr>
            </w:pPr>
            <w:r>
              <w:rPr>
                <w:sz w:val="15"/>
              </w:rPr>
              <w:t>Superintendent</w:t>
            </w:r>
          </w:p>
        </w:tc>
        <w:tc>
          <w:tcPr>
            <w:tcW w:w="945" w:type="dxa"/>
          </w:tcPr>
          <w:p>
            <w:pPr>
              <w:pStyle w:val="TableParagraph"/>
              <w:ind w:left="271"/>
              <w:rPr>
                <w:sz w:val="15"/>
              </w:rPr>
            </w:pPr>
            <w:r>
              <w:rPr>
                <w:sz w:val="15"/>
              </w:rPr>
              <w:t>Board</w:t>
            </w:r>
          </w:p>
        </w:tc>
        <w:tc>
          <w:tcPr>
            <w:tcW w:w="945" w:type="dxa"/>
          </w:tcPr>
          <w:p>
            <w:pPr>
              <w:pStyle w:val="TableParagraph"/>
              <w:ind w:left="271"/>
              <w:rPr>
                <w:sz w:val="15"/>
              </w:rPr>
            </w:pPr>
            <w:r>
              <w:rPr>
                <w:sz w:val="15"/>
              </w:rPr>
              <w:t>Board</w:t>
            </w:r>
          </w:p>
        </w:tc>
        <w:tc>
          <w:tcPr>
            <w:tcW w:w="1040" w:type="dxa"/>
          </w:tcPr>
          <w:p>
            <w:pPr>
              <w:pStyle w:val="TableParagraph"/>
              <w:ind w:left="319"/>
              <w:rPr>
                <w:sz w:val="15"/>
              </w:rPr>
            </w:pPr>
            <w:r>
              <w:rPr>
                <w:sz w:val="15"/>
              </w:rPr>
              <w:t>Board</w:t>
            </w:r>
          </w:p>
        </w:tc>
        <w:tc>
          <w:tcPr>
            <w:tcW w:w="980" w:type="dxa"/>
          </w:tcPr>
          <w:p>
            <w:pPr>
              <w:pStyle w:val="TableParagraph"/>
              <w:ind w:left="283"/>
              <w:rPr>
                <w:sz w:val="15"/>
              </w:rPr>
            </w:pPr>
            <w:r>
              <w:rPr>
                <w:sz w:val="15"/>
              </w:rPr>
              <w:t>Board</w:t>
            </w:r>
          </w:p>
        </w:tc>
        <w:tc>
          <w:tcPr>
            <w:tcW w:w="933" w:type="dxa"/>
          </w:tcPr>
          <w:p>
            <w:pPr>
              <w:pStyle w:val="TableParagraph"/>
              <w:ind w:left="259"/>
              <w:rPr>
                <w:sz w:val="15"/>
              </w:rPr>
            </w:pPr>
            <w:r>
              <w:rPr>
                <w:sz w:val="15"/>
              </w:rPr>
              <w:t>Board</w:t>
            </w:r>
          </w:p>
        </w:tc>
        <w:tc>
          <w:tcPr>
            <w:tcW w:w="898" w:type="dxa"/>
          </w:tcPr>
          <w:p>
            <w:pPr>
              <w:pStyle w:val="TableParagraph"/>
              <w:ind w:left="248"/>
              <w:rPr>
                <w:sz w:val="15"/>
              </w:rPr>
            </w:pPr>
            <w:r>
              <w:rPr>
                <w:sz w:val="15"/>
              </w:rPr>
              <w:t>Board</w:t>
            </w:r>
          </w:p>
        </w:tc>
        <w:tc>
          <w:tcPr>
            <w:tcW w:w="945" w:type="dxa"/>
          </w:tcPr>
          <w:p>
            <w:pPr>
              <w:pStyle w:val="TableParagraph"/>
              <w:ind w:left="271"/>
              <w:rPr>
                <w:sz w:val="15"/>
              </w:rPr>
            </w:pPr>
            <w:r>
              <w:rPr>
                <w:sz w:val="15"/>
              </w:rPr>
              <w:t>Board</w:t>
            </w:r>
          </w:p>
        </w:tc>
        <w:tc>
          <w:tcPr>
            <w:tcW w:w="898" w:type="dxa"/>
          </w:tcPr>
          <w:p>
            <w:pPr>
              <w:pStyle w:val="TableParagraph"/>
              <w:ind w:left="248"/>
              <w:rPr>
                <w:sz w:val="15"/>
              </w:rPr>
            </w:pPr>
            <w:r>
              <w:rPr>
                <w:sz w:val="15"/>
              </w:rPr>
              <w:t>Board</w:t>
            </w:r>
          </w:p>
        </w:tc>
        <w:tc>
          <w:tcPr>
            <w:tcW w:w="780" w:type="dxa"/>
          </w:tcPr>
          <w:p>
            <w:pPr/>
          </w:p>
        </w:tc>
      </w:tr>
      <w:tr>
        <w:trPr>
          <w:trHeight w:val="201" w:hRule="exact"/>
        </w:trPr>
        <w:tc>
          <w:tcPr>
            <w:tcW w:w="2339" w:type="dxa"/>
            <w:vMerge/>
          </w:tcPr>
          <w:p>
            <w:pPr/>
          </w:p>
        </w:tc>
        <w:tc>
          <w:tcPr>
            <w:tcW w:w="1240" w:type="dxa"/>
            <w:vMerge/>
            <w:tcBorders>
              <w:bottom w:val="single" w:sz="5" w:space="0" w:color="000000"/>
            </w:tcBorders>
          </w:tcPr>
          <w:p>
            <w:pPr/>
          </w:p>
        </w:tc>
        <w:tc>
          <w:tcPr>
            <w:tcW w:w="945" w:type="dxa"/>
            <w:tcBorders>
              <w:bottom w:val="single" w:sz="5" w:space="0" w:color="000000"/>
            </w:tcBorders>
          </w:tcPr>
          <w:p>
            <w:pPr>
              <w:pStyle w:val="TableParagraph"/>
              <w:ind w:left="165"/>
              <w:rPr>
                <w:sz w:val="15"/>
              </w:rPr>
            </w:pPr>
            <w:r>
              <w:rPr>
                <w:sz w:val="15"/>
              </w:rPr>
              <w:t>Member</w:t>
            </w:r>
          </w:p>
        </w:tc>
        <w:tc>
          <w:tcPr>
            <w:tcW w:w="945" w:type="dxa"/>
            <w:tcBorders>
              <w:bottom w:val="single" w:sz="5" w:space="0" w:color="000000"/>
            </w:tcBorders>
          </w:tcPr>
          <w:p>
            <w:pPr>
              <w:pStyle w:val="TableParagraph"/>
              <w:ind w:left="189"/>
              <w:rPr>
                <w:sz w:val="15"/>
              </w:rPr>
            </w:pPr>
            <w:r>
              <w:rPr>
                <w:sz w:val="15"/>
              </w:rPr>
              <w:t>Member</w:t>
            </w:r>
          </w:p>
        </w:tc>
        <w:tc>
          <w:tcPr>
            <w:tcW w:w="1040" w:type="dxa"/>
            <w:tcBorders>
              <w:bottom w:val="single" w:sz="5" w:space="0" w:color="000000"/>
            </w:tcBorders>
          </w:tcPr>
          <w:p>
            <w:pPr>
              <w:pStyle w:val="TableParagraph"/>
              <w:ind w:left="236"/>
              <w:rPr>
                <w:sz w:val="15"/>
              </w:rPr>
            </w:pPr>
            <w:r>
              <w:rPr>
                <w:sz w:val="15"/>
              </w:rPr>
              <w:t>Member</w:t>
            </w:r>
          </w:p>
        </w:tc>
        <w:tc>
          <w:tcPr>
            <w:tcW w:w="980" w:type="dxa"/>
            <w:tcBorders>
              <w:bottom w:val="single" w:sz="5" w:space="0" w:color="000000"/>
            </w:tcBorders>
          </w:tcPr>
          <w:p>
            <w:pPr>
              <w:pStyle w:val="TableParagraph"/>
              <w:ind w:left="212"/>
              <w:rPr>
                <w:sz w:val="15"/>
              </w:rPr>
            </w:pPr>
            <w:r>
              <w:rPr>
                <w:sz w:val="15"/>
              </w:rPr>
              <w:t>Member</w:t>
            </w:r>
          </w:p>
        </w:tc>
        <w:tc>
          <w:tcPr>
            <w:tcW w:w="933" w:type="dxa"/>
            <w:tcBorders>
              <w:bottom w:val="single" w:sz="5" w:space="0" w:color="000000"/>
            </w:tcBorders>
          </w:tcPr>
          <w:p>
            <w:pPr>
              <w:pStyle w:val="TableParagraph"/>
              <w:ind w:left="165"/>
              <w:rPr>
                <w:sz w:val="15"/>
              </w:rPr>
            </w:pPr>
            <w:r>
              <w:rPr>
                <w:sz w:val="15"/>
              </w:rPr>
              <w:t>Member</w:t>
            </w:r>
          </w:p>
        </w:tc>
        <w:tc>
          <w:tcPr>
            <w:tcW w:w="898" w:type="dxa"/>
            <w:tcBorders>
              <w:bottom w:val="single" w:sz="5" w:space="0" w:color="000000"/>
            </w:tcBorders>
          </w:tcPr>
          <w:p>
            <w:pPr>
              <w:pStyle w:val="TableParagraph"/>
              <w:ind w:left="141"/>
              <w:rPr>
                <w:sz w:val="15"/>
              </w:rPr>
            </w:pPr>
            <w:r>
              <w:rPr>
                <w:sz w:val="15"/>
              </w:rPr>
              <w:t>Member</w:t>
            </w:r>
          </w:p>
        </w:tc>
        <w:tc>
          <w:tcPr>
            <w:tcW w:w="945" w:type="dxa"/>
            <w:tcBorders>
              <w:bottom w:val="single" w:sz="5" w:space="0" w:color="000000"/>
            </w:tcBorders>
          </w:tcPr>
          <w:p>
            <w:pPr>
              <w:pStyle w:val="TableParagraph"/>
              <w:ind w:left="165"/>
              <w:rPr>
                <w:sz w:val="15"/>
              </w:rPr>
            </w:pPr>
            <w:r>
              <w:rPr>
                <w:sz w:val="15"/>
              </w:rPr>
              <w:t>Member</w:t>
            </w:r>
          </w:p>
        </w:tc>
        <w:tc>
          <w:tcPr>
            <w:tcW w:w="898" w:type="dxa"/>
            <w:tcBorders>
              <w:bottom w:val="single" w:sz="5" w:space="0" w:color="000000"/>
            </w:tcBorders>
          </w:tcPr>
          <w:p>
            <w:pPr>
              <w:pStyle w:val="TableParagraph"/>
              <w:ind w:left="141"/>
              <w:rPr>
                <w:sz w:val="15"/>
              </w:rPr>
            </w:pPr>
            <w:r>
              <w:rPr>
                <w:sz w:val="15"/>
              </w:rPr>
              <w:t>Member</w:t>
            </w:r>
          </w:p>
        </w:tc>
        <w:tc>
          <w:tcPr>
            <w:tcW w:w="780" w:type="dxa"/>
          </w:tcPr>
          <w:p>
            <w:pPr/>
          </w:p>
        </w:tc>
      </w:tr>
      <w:tr>
        <w:trPr>
          <w:trHeight w:val="201" w:hRule="exact"/>
        </w:trPr>
        <w:tc>
          <w:tcPr>
            <w:tcW w:w="2339" w:type="dxa"/>
          </w:tcPr>
          <w:p>
            <w:pPr>
              <w:pStyle w:val="TableParagraph"/>
              <w:ind w:left="23"/>
              <w:rPr>
                <w:sz w:val="15"/>
              </w:rPr>
            </w:pPr>
            <w:r>
              <w:rPr>
                <w:sz w:val="15"/>
              </w:rPr>
              <w:t>Meals</w:t>
            </w:r>
          </w:p>
        </w:tc>
        <w:tc>
          <w:tcPr>
            <w:tcW w:w="1240" w:type="dxa"/>
            <w:tcBorders>
              <w:top w:val="single" w:sz="5" w:space="0" w:color="000000"/>
            </w:tcBorders>
          </w:tcPr>
          <w:p>
            <w:pPr>
              <w:pStyle w:val="TableParagraph"/>
              <w:ind w:right="21"/>
              <w:jc w:val="right"/>
              <w:rPr>
                <w:sz w:val="15"/>
              </w:rPr>
            </w:pPr>
            <w:r>
              <w:rPr>
                <w:sz w:val="15"/>
              </w:rPr>
              <w:t>$94.54</w:t>
            </w:r>
          </w:p>
        </w:tc>
        <w:tc>
          <w:tcPr>
            <w:tcW w:w="945" w:type="dxa"/>
            <w:tcBorders>
              <w:top w:val="single" w:sz="5" w:space="0" w:color="000000"/>
            </w:tcBorders>
          </w:tcPr>
          <w:p>
            <w:pPr>
              <w:pStyle w:val="TableParagraph"/>
              <w:ind w:right="21"/>
              <w:jc w:val="right"/>
              <w:rPr>
                <w:sz w:val="15"/>
              </w:rPr>
            </w:pPr>
            <w:r>
              <w:rPr>
                <w:sz w:val="15"/>
              </w:rPr>
              <w:t>$0.00</w:t>
            </w:r>
          </w:p>
        </w:tc>
        <w:tc>
          <w:tcPr>
            <w:tcW w:w="945" w:type="dxa"/>
            <w:tcBorders>
              <w:top w:val="single" w:sz="5" w:space="0" w:color="000000"/>
            </w:tcBorders>
          </w:tcPr>
          <w:p>
            <w:pPr>
              <w:pStyle w:val="TableParagraph"/>
              <w:ind w:right="21"/>
              <w:jc w:val="right"/>
              <w:rPr>
                <w:sz w:val="15"/>
              </w:rPr>
            </w:pPr>
            <w:r>
              <w:rPr>
                <w:sz w:val="15"/>
              </w:rPr>
              <w:t>$0.00</w:t>
            </w:r>
          </w:p>
        </w:tc>
        <w:tc>
          <w:tcPr>
            <w:tcW w:w="1040" w:type="dxa"/>
            <w:tcBorders>
              <w:top w:val="single" w:sz="5" w:space="0" w:color="000000"/>
            </w:tcBorders>
          </w:tcPr>
          <w:p>
            <w:pPr>
              <w:pStyle w:val="TableParagraph"/>
              <w:ind w:right="21"/>
              <w:jc w:val="right"/>
              <w:rPr>
                <w:sz w:val="15"/>
              </w:rPr>
            </w:pPr>
            <w:r>
              <w:rPr>
                <w:sz w:val="15"/>
              </w:rPr>
              <w:t>$0.00</w:t>
            </w:r>
          </w:p>
        </w:tc>
        <w:tc>
          <w:tcPr>
            <w:tcW w:w="980" w:type="dxa"/>
            <w:tcBorders>
              <w:top w:val="single" w:sz="5" w:space="0" w:color="000000"/>
            </w:tcBorders>
          </w:tcPr>
          <w:p>
            <w:pPr>
              <w:pStyle w:val="TableParagraph"/>
              <w:ind w:right="21"/>
              <w:jc w:val="right"/>
              <w:rPr>
                <w:sz w:val="15"/>
              </w:rPr>
            </w:pPr>
            <w:r>
              <w:rPr>
                <w:sz w:val="15"/>
              </w:rPr>
              <w:t>$0.00</w:t>
            </w:r>
          </w:p>
        </w:tc>
        <w:tc>
          <w:tcPr>
            <w:tcW w:w="933" w:type="dxa"/>
            <w:tcBorders>
              <w:top w:val="single" w:sz="5" w:space="0" w:color="000000"/>
            </w:tcBorders>
          </w:tcPr>
          <w:p>
            <w:pPr>
              <w:pStyle w:val="TableParagraph"/>
              <w:ind w:right="21"/>
              <w:jc w:val="right"/>
              <w:rPr>
                <w:sz w:val="15"/>
              </w:rPr>
            </w:pPr>
            <w:r>
              <w:rPr>
                <w:sz w:val="15"/>
              </w:rPr>
              <w:t>$0.00</w:t>
            </w:r>
          </w:p>
        </w:tc>
        <w:tc>
          <w:tcPr>
            <w:tcW w:w="898" w:type="dxa"/>
            <w:tcBorders>
              <w:top w:val="single" w:sz="5" w:space="0" w:color="000000"/>
            </w:tcBorders>
          </w:tcPr>
          <w:p>
            <w:pPr>
              <w:pStyle w:val="TableParagraph"/>
              <w:ind w:right="21"/>
              <w:jc w:val="right"/>
              <w:rPr>
                <w:sz w:val="15"/>
              </w:rPr>
            </w:pPr>
            <w:r>
              <w:rPr>
                <w:sz w:val="15"/>
              </w:rPr>
              <w:t>$0.00</w:t>
            </w:r>
          </w:p>
        </w:tc>
        <w:tc>
          <w:tcPr>
            <w:tcW w:w="945" w:type="dxa"/>
            <w:tcBorders>
              <w:top w:val="single" w:sz="5" w:space="0" w:color="000000"/>
            </w:tcBorders>
          </w:tcPr>
          <w:p>
            <w:pPr>
              <w:pStyle w:val="TableParagraph"/>
              <w:ind w:right="21"/>
              <w:jc w:val="right"/>
              <w:rPr>
                <w:sz w:val="15"/>
              </w:rPr>
            </w:pPr>
            <w:r>
              <w:rPr>
                <w:sz w:val="15"/>
              </w:rPr>
              <w:t>$0.00</w:t>
            </w:r>
          </w:p>
        </w:tc>
        <w:tc>
          <w:tcPr>
            <w:tcW w:w="898" w:type="dxa"/>
            <w:tcBorders>
              <w:top w:val="single" w:sz="5" w:space="0" w:color="000000"/>
            </w:tcBorders>
          </w:tcPr>
          <w:p>
            <w:pPr>
              <w:pStyle w:val="TableParagraph"/>
              <w:ind w:right="21"/>
              <w:jc w:val="right"/>
              <w:rPr>
                <w:sz w:val="15"/>
              </w:rPr>
            </w:pPr>
            <w:r>
              <w:rPr>
                <w:sz w:val="15"/>
              </w:rPr>
              <w:t>$0.00</w:t>
            </w:r>
          </w:p>
        </w:tc>
        <w:tc>
          <w:tcPr>
            <w:tcW w:w="780" w:type="dxa"/>
          </w:tcPr>
          <w:p>
            <w:pPr/>
          </w:p>
        </w:tc>
      </w:tr>
      <w:tr>
        <w:trPr>
          <w:trHeight w:val="201" w:hRule="exact"/>
        </w:trPr>
        <w:tc>
          <w:tcPr>
            <w:tcW w:w="2339" w:type="dxa"/>
          </w:tcPr>
          <w:p>
            <w:pPr>
              <w:pStyle w:val="TableParagraph"/>
              <w:ind w:left="23"/>
              <w:rPr>
                <w:sz w:val="15"/>
              </w:rPr>
            </w:pPr>
            <w:r>
              <w:rPr>
                <w:sz w:val="15"/>
              </w:rPr>
              <w:t>Lodging</w:t>
            </w:r>
          </w:p>
        </w:tc>
        <w:tc>
          <w:tcPr>
            <w:tcW w:w="1240" w:type="dxa"/>
          </w:tcPr>
          <w:p>
            <w:pPr>
              <w:pStyle w:val="TableParagraph"/>
              <w:ind w:right="21"/>
              <w:jc w:val="right"/>
              <w:rPr>
                <w:sz w:val="15"/>
              </w:rPr>
            </w:pPr>
            <w:r>
              <w:rPr>
                <w:sz w:val="15"/>
              </w:rPr>
              <w:t>$300.75</w:t>
            </w:r>
          </w:p>
        </w:tc>
        <w:tc>
          <w:tcPr>
            <w:tcW w:w="945"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1040" w:type="dxa"/>
          </w:tcPr>
          <w:p>
            <w:pPr>
              <w:pStyle w:val="TableParagraph"/>
              <w:ind w:right="21"/>
              <w:jc w:val="right"/>
              <w:rPr>
                <w:sz w:val="15"/>
              </w:rPr>
            </w:pPr>
            <w:r>
              <w:rPr>
                <w:sz w:val="15"/>
              </w:rPr>
              <w:t>$0.00</w:t>
            </w:r>
          </w:p>
        </w:tc>
        <w:tc>
          <w:tcPr>
            <w:tcW w:w="980" w:type="dxa"/>
          </w:tcPr>
          <w:p>
            <w:pPr>
              <w:pStyle w:val="TableParagraph"/>
              <w:ind w:right="21"/>
              <w:jc w:val="right"/>
              <w:rPr>
                <w:sz w:val="15"/>
              </w:rPr>
            </w:pPr>
            <w:r>
              <w:rPr>
                <w:sz w:val="15"/>
              </w:rPr>
              <w:t>$0.00</w:t>
            </w:r>
          </w:p>
        </w:tc>
        <w:tc>
          <w:tcPr>
            <w:tcW w:w="933"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780" w:type="dxa"/>
          </w:tcPr>
          <w:p>
            <w:pPr/>
          </w:p>
        </w:tc>
      </w:tr>
      <w:tr>
        <w:trPr>
          <w:trHeight w:val="201" w:hRule="exact"/>
        </w:trPr>
        <w:tc>
          <w:tcPr>
            <w:tcW w:w="2339" w:type="dxa"/>
          </w:tcPr>
          <w:p>
            <w:pPr>
              <w:pStyle w:val="TableParagraph"/>
              <w:ind w:left="23"/>
              <w:rPr>
                <w:sz w:val="15"/>
              </w:rPr>
            </w:pPr>
            <w:r>
              <w:rPr>
                <w:sz w:val="15"/>
              </w:rPr>
              <w:t>Transportation</w:t>
            </w:r>
          </w:p>
        </w:tc>
        <w:tc>
          <w:tcPr>
            <w:tcW w:w="1240" w:type="dxa"/>
          </w:tcPr>
          <w:p>
            <w:pPr>
              <w:pStyle w:val="TableParagraph"/>
              <w:ind w:right="21"/>
              <w:jc w:val="right"/>
              <w:rPr>
                <w:sz w:val="15"/>
              </w:rPr>
            </w:pPr>
            <w:r>
              <w:rPr>
                <w:sz w:val="15"/>
              </w:rPr>
              <w:t>$587.85</w:t>
            </w:r>
          </w:p>
        </w:tc>
        <w:tc>
          <w:tcPr>
            <w:tcW w:w="945"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1040" w:type="dxa"/>
          </w:tcPr>
          <w:p>
            <w:pPr>
              <w:pStyle w:val="TableParagraph"/>
              <w:ind w:right="21"/>
              <w:jc w:val="right"/>
              <w:rPr>
                <w:sz w:val="15"/>
              </w:rPr>
            </w:pPr>
            <w:r>
              <w:rPr>
                <w:sz w:val="15"/>
              </w:rPr>
              <w:t>$0.00</w:t>
            </w:r>
          </w:p>
        </w:tc>
        <w:tc>
          <w:tcPr>
            <w:tcW w:w="980" w:type="dxa"/>
          </w:tcPr>
          <w:p>
            <w:pPr>
              <w:pStyle w:val="TableParagraph"/>
              <w:ind w:right="21"/>
              <w:jc w:val="right"/>
              <w:rPr>
                <w:sz w:val="15"/>
              </w:rPr>
            </w:pPr>
            <w:r>
              <w:rPr>
                <w:sz w:val="15"/>
              </w:rPr>
              <w:t>$0.00</w:t>
            </w:r>
          </w:p>
        </w:tc>
        <w:tc>
          <w:tcPr>
            <w:tcW w:w="933"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780" w:type="dxa"/>
          </w:tcPr>
          <w:p>
            <w:pPr/>
          </w:p>
        </w:tc>
      </w:tr>
      <w:tr>
        <w:trPr>
          <w:trHeight w:val="201" w:hRule="exact"/>
        </w:trPr>
        <w:tc>
          <w:tcPr>
            <w:tcW w:w="2339" w:type="dxa"/>
          </w:tcPr>
          <w:p>
            <w:pPr>
              <w:pStyle w:val="TableParagraph"/>
              <w:ind w:left="24"/>
              <w:rPr>
                <w:sz w:val="15"/>
              </w:rPr>
            </w:pPr>
            <w:r>
              <w:rPr>
                <w:sz w:val="15"/>
              </w:rPr>
              <w:t>Motor Fuel</w:t>
            </w:r>
          </w:p>
        </w:tc>
        <w:tc>
          <w:tcPr>
            <w:tcW w:w="1240"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1040" w:type="dxa"/>
          </w:tcPr>
          <w:p>
            <w:pPr>
              <w:pStyle w:val="TableParagraph"/>
              <w:ind w:right="21"/>
              <w:jc w:val="right"/>
              <w:rPr>
                <w:sz w:val="15"/>
              </w:rPr>
            </w:pPr>
            <w:r>
              <w:rPr>
                <w:sz w:val="15"/>
              </w:rPr>
              <w:t>$0.00</w:t>
            </w:r>
          </w:p>
        </w:tc>
        <w:tc>
          <w:tcPr>
            <w:tcW w:w="980" w:type="dxa"/>
          </w:tcPr>
          <w:p>
            <w:pPr>
              <w:pStyle w:val="TableParagraph"/>
              <w:ind w:right="21"/>
              <w:jc w:val="right"/>
              <w:rPr>
                <w:sz w:val="15"/>
              </w:rPr>
            </w:pPr>
            <w:r>
              <w:rPr>
                <w:sz w:val="15"/>
              </w:rPr>
              <w:t>$0.00</w:t>
            </w:r>
          </w:p>
        </w:tc>
        <w:tc>
          <w:tcPr>
            <w:tcW w:w="933"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945" w:type="dxa"/>
          </w:tcPr>
          <w:p>
            <w:pPr>
              <w:pStyle w:val="TableParagraph"/>
              <w:ind w:right="21"/>
              <w:jc w:val="right"/>
              <w:rPr>
                <w:sz w:val="15"/>
              </w:rPr>
            </w:pPr>
            <w:r>
              <w:rPr>
                <w:sz w:val="15"/>
              </w:rPr>
              <w:t>$0.00</w:t>
            </w:r>
          </w:p>
        </w:tc>
        <w:tc>
          <w:tcPr>
            <w:tcW w:w="898" w:type="dxa"/>
          </w:tcPr>
          <w:p>
            <w:pPr>
              <w:pStyle w:val="TableParagraph"/>
              <w:ind w:right="21"/>
              <w:jc w:val="right"/>
              <w:rPr>
                <w:sz w:val="15"/>
              </w:rPr>
            </w:pPr>
            <w:r>
              <w:rPr>
                <w:sz w:val="15"/>
              </w:rPr>
              <w:t>$0.00</w:t>
            </w:r>
          </w:p>
        </w:tc>
        <w:tc>
          <w:tcPr>
            <w:tcW w:w="780" w:type="dxa"/>
          </w:tcPr>
          <w:p>
            <w:pPr/>
          </w:p>
        </w:tc>
      </w:tr>
      <w:tr>
        <w:trPr>
          <w:trHeight w:val="207" w:hRule="exact"/>
        </w:trPr>
        <w:tc>
          <w:tcPr>
            <w:tcW w:w="2339" w:type="dxa"/>
          </w:tcPr>
          <w:p>
            <w:pPr>
              <w:pStyle w:val="TableParagraph"/>
              <w:ind w:left="24"/>
              <w:rPr>
                <w:sz w:val="15"/>
              </w:rPr>
            </w:pPr>
            <w:r>
              <w:rPr>
                <w:sz w:val="15"/>
              </w:rPr>
              <w:t>Other</w:t>
            </w:r>
          </w:p>
        </w:tc>
        <w:tc>
          <w:tcPr>
            <w:tcW w:w="1240" w:type="dxa"/>
            <w:tcBorders>
              <w:bottom w:val="single" w:sz="9" w:space="0" w:color="000000"/>
            </w:tcBorders>
          </w:tcPr>
          <w:p>
            <w:pPr>
              <w:pStyle w:val="TableParagraph"/>
              <w:ind w:right="21"/>
              <w:jc w:val="right"/>
              <w:rPr>
                <w:sz w:val="15"/>
              </w:rPr>
            </w:pPr>
            <w:r>
              <w:rPr>
                <w:sz w:val="15"/>
              </w:rPr>
              <w:t>$840.65</w:t>
            </w:r>
          </w:p>
        </w:tc>
        <w:tc>
          <w:tcPr>
            <w:tcW w:w="945" w:type="dxa"/>
            <w:tcBorders>
              <w:bottom w:val="single" w:sz="9" w:space="0" w:color="000000"/>
            </w:tcBorders>
          </w:tcPr>
          <w:p>
            <w:pPr>
              <w:pStyle w:val="TableParagraph"/>
              <w:ind w:right="21"/>
              <w:jc w:val="right"/>
              <w:rPr>
                <w:sz w:val="15"/>
              </w:rPr>
            </w:pPr>
            <w:r>
              <w:rPr>
                <w:sz w:val="15"/>
              </w:rPr>
              <w:t>$0.00</w:t>
            </w:r>
          </w:p>
        </w:tc>
        <w:tc>
          <w:tcPr>
            <w:tcW w:w="945" w:type="dxa"/>
            <w:tcBorders>
              <w:bottom w:val="single" w:sz="9" w:space="0" w:color="000000"/>
            </w:tcBorders>
          </w:tcPr>
          <w:p>
            <w:pPr>
              <w:pStyle w:val="TableParagraph"/>
              <w:ind w:right="21"/>
              <w:jc w:val="right"/>
              <w:rPr>
                <w:sz w:val="15"/>
              </w:rPr>
            </w:pPr>
            <w:r>
              <w:rPr>
                <w:sz w:val="15"/>
              </w:rPr>
              <w:t>$0.00</w:t>
            </w:r>
          </w:p>
        </w:tc>
        <w:tc>
          <w:tcPr>
            <w:tcW w:w="1040" w:type="dxa"/>
            <w:tcBorders>
              <w:bottom w:val="single" w:sz="9" w:space="0" w:color="000000"/>
            </w:tcBorders>
          </w:tcPr>
          <w:p>
            <w:pPr>
              <w:pStyle w:val="TableParagraph"/>
              <w:ind w:right="21"/>
              <w:jc w:val="right"/>
              <w:rPr>
                <w:sz w:val="15"/>
              </w:rPr>
            </w:pPr>
            <w:r>
              <w:rPr>
                <w:sz w:val="15"/>
              </w:rPr>
              <w:t>$0.00</w:t>
            </w:r>
          </w:p>
        </w:tc>
        <w:tc>
          <w:tcPr>
            <w:tcW w:w="980" w:type="dxa"/>
            <w:tcBorders>
              <w:bottom w:val="single" w:sz="9" w:space="0" w:color="000000"/>
            </w:tcBorders>
          </w:tcPr>
          <w:p>
            <w:pPr>
              <w:pStyle w:val="TableParagraph"/>
              <w:ind w:right="21"/>
              <w:jc w:val="right"/>
              <w:rPr>
                <w:sz w:val="15"/>
              </w:rPr>
            </w:pPr>
            <w:r>
              <w:rPr>
                <w:sz w:val="15"/>
              </w:rPr>
              <w:t>$0.00</w:t>
            </w:r>
          </w:p>
        </w:tc>
        <w:tc>
          <w:tcPr>
            <w:tcW w:w="933" w:type="dxa"/>
            <w:tcBorders>
              <w:bottom w:val="single" w:sz="9" w:space="0" w:color="000000"/>
            </w:tcBorders>
          </w:tcPr>
          <w:p>
            <w:pPr>
              <w:pStyle w:val="TableParagraph"/>
              <w:ind w:right="21"/>
              <w:jc w:val="right"/>
              <w:rPr>
                <w:sz w:val="15"/>
              </w:rPr>
            </w:pPr>
            <w:r>
              <w:rPr>
                <w:sz w:val="15"/>
              </w:rPr>
              <w:t>$0.00</w:t>
            </w:r>
          </w:p>
        </w:tc>
        <w:tc>
          <w:tcPr>
            <w:tcW w:w="898" w:type="dxa"/>
            <w:tcBorders>
              <w:bottom w:val="single" w:sz="9" w:space="0" w:color="000000"/>
            </w:tcBorders>
          </w:tcPr>
          <w:p>
            <w:pPr>
              <w:pStyle w:val="TableParagraph"/>
              <w:ind w:right="21"/>
              <w:jc w:val="right"/>
              <w:rPr>
                <w:sz w:val="15"/>
              </w:rPr>
            </w:pPr>
            <w:r>
              <w:rPr>
                <w:sz w:val="15"/>
              </w:rPr>
              <w:t>$0.00</w:t>
            </w:r>
          </w:p>
        </w:tc>
        <w:tc>
          <w:tcPr>
            <w:tcW w:w="945" w:type="dxa"/>
            <w:tcBorders>
              <w:bottom w:val="single" w:sz="9" w:space="0" w:color="000000"/>
            </w:tcBorders>
          </w:tcPr>
          <w:p>
            <w:pPr>
              <w:pStyle w:val="TableParagraph"/>
              <w:ind w:right="21"/>
              <w:jc w:val="right"/>
              <w:rPr>
                <w:sz w:val="15"/>
              </w:rPr>
            </w:pPr>
            <w:r>
              <w:rPr>
                <w:sz w:val="15"/>
              </w:rPr>
              <w:t>$535.00</w:t>
            </w:r>
          </w:p>
        </w:tc>
        <w:tc>
          <w:tcPr>
            <w:tcW w:w="898" w:type="dxa"/>
            <w:tcBorders>
              <w:bottom w:val="single" w:sz="9" w:space="0" w:color="000000"/>
            </w:tcBorders>
          </w:tcPr>
          <w:p>
            <w:pPr>
              <w:pStyle w:val="TableParagraph"/>
              <w:ind w:right="21"/>
              <w:jc w:val="right"/>
              <w:rPr>
                <w:sz w:val="15"/>
              </w:rPr>
            </w:pPr>
            <w:r>
              <w:rPr>
                <w:sz w:val="15"/>
              </w:rPr>
              <w:t>$561.65</w:t>
            </w:r>
          </w:p>
        </w:tc>
        <w:tc>
          <w:tcPr>
            <w:tcW w:w="780" w:type="dxa"/>
          </w:tcPr>
          <w:p>
            <w:pPr/>
          </w:p>
        </w:tc>
      </w:tr>
      <w:tr>
        <w:trPr>
          <w:trHeight w:val="212" w:hRule="exact"/>
        </w:trPr>
        <w:tc>
          <w:tcPr>
            <w:tcW w:w="2339" w:type="dxa"/>
          </w:tcPr>
          <w:p>
            <w:pPr>
              <w:pStyle w:val="TableParagraph"/>
              <w:spacing w:before="19"/>
              <w:ind w:left="24"/>
              <w:rPr>
                <w:sz w:val="15"/>
              </w:rPr>
            </w:pPr>
            <w:r>
              <w:rPr>
                <w:sz w:val="15"/>
              </w:rPr>
              <w:t>Total</w:t>
            </w:r>
          </w:p>
        </w:tc>
        <w:tc>
          <w:tcPr>
            <w:tcW w:w="1240" w:type="dxa"/>
            <w:tcBorders>
              <w:top w:val="single" w:sz="9" w:space="0" w:color="000000"/>
              <w:bottom w:val="single" w:sz="9" w:space="0" w:color="000000"/>
            </w:tcBorders>
          </w:tcPr>
          <w:p>
            <w:pPr>
              <w:pStyle w:val="TableParagraph"/>
              <w:ind w:right="21"/>
              <w:jc w:val="right"/>
              <w:rPr>
                <w:sz w:val="15"/>
              </w:rPr>
            </w:pPr>
            <w:r>
              <w:rPr>
                <w:sz w:val="15"/>
              </w:rPr>
              <w:t>$1,823.79</w:t>
            </w:r>
          </w:p>
        </w:tc>
        <w:tc>
          <w:tcPr>
            <w:tcW w:w="945" w:type="dxa"/>
            <w:tcBorders>
              <w:top w:val="single" w:sz="9" w:space="0" w:color="000000"/>
              <w:bottom w:val="single" w:sz="9" w:space="0" w:color="000000"/>
            </w:tcBorders>
          </w:tcPr>
          <w:p>
            <w:pPr>
              <w:pStyle w:val="TableParagraph"/>
              <w:ind w:right="21"/>
              <w:jc w:val="right"/>
              <w:rPr>
                <w:sz w:val="15"/>
              </w:rPr>
            </w:pPr>
            <w:r>
              <w:rPr>
                <w:sz w:val="15"/>
              </w:rPr>
              <w:t>$0.00</w:t>
            </w:r>
          </w:p>
        </w:tc>
        <w:tc>
          <w:tcPr>
            <w:tcW w:w="945" w:type="dxa"/>
            <w:tcBorders>
              <w:top w:val="single" w:sz="9" w:space="0" w:color="000000"/>
              <w:bottom w:val="single" w:sz="9" w:space="0" w:color="000000"/>
            </w:tcBorders>
          </w:tcPr>
          <w:p>
            <w:pPr>
              <w:pStyle w:val="TableParagraph"/>
              <w:ind w:right="21"/>
              <w:jc w:val="right"/>
              <w:rPr>
                <w:sz w:val="15"/>
              </w:rPr>
            </w:pPr>
            <w:r>
              <w:rPr>
                <w:sz w:val="15"/>
              </w:rPr>
              <w:t>$0.00</w:t>
            </w:r>
          </w:p>
        </w:tc>
        <w:tc>
          <w:tcPr>
            <w:tcW w:w="1040" w:type="dxa"/>
            <w:tcBorders>
              <w:top w:val="single" w:sz="9" w:space="0" w:color="000000"/>
              <w:bottom w:val="single" w:sz="9" w:space="0" w:color="000000"/>
            </w:tcBorders>
          </w:tcPr>
          <w:p>
            <w:pPr>
              <w:pStyle w:val="TableParagraph"/>
              <w:ind w:right="21"/>
              <w:jc w:val="right"/>
              <w:rPr>
                <w:sz w:val="15"/>
              </w:rPr>
            </w:pPr>
            <w:r>
              <w:rPr>
                <w:sz w:val="15"/>
              </w:rPr>
              <w:t>$0.00</w:t>
            </w:r>
          </w:p>
        </w:tc>
        <w:tc>
          <w:tcPr>
            <w:tcW w:w="980" w:type="dxa"/>
            <w:tcBorders>
              <w:top w:val="single" w:sz="9" w:space="0" w:color="000000"/>
              <w:bottom w:val="single" w:sz="9" w:space="0" w:color="000000"/>
            </w:tcBorders>
          </w:tcPr>
          <w:p>
            <w:pPr>
              <w:pStyle w:val="TableParagraph"/>
              <w:ind w:right="21"/>
              <w:jc w:val="right"/>
              <w:rPr>
                <w:sz w:val="15"/>
              </w:rPr>
            </w:pPr>
            <w:r>
              <w:rPr>
                <w:sz w:val="15"/>
              </w:rPr>
              <w:t>$0.00</w:t>
            </w:r>
          </w:p>
        </w:tc>
        <w:tc>
          <w:tcPr>
            <w:tcW w:w="933" w:type="dxa"/>
            <w:tcBorders>
              <w:top w:val="single" w:sz="9" w:space="0" w:color="000000"/>
              <w:bottom w:val="single" w:sz="9" w:space="0" w:color="000000"/>
            </w:tcBorders>
          </w:tcPr>
          <w:p>
            <w:pPr>
              <w:pStyle w:val="TableParagraph"/>
              <w:ind w:right="21"/>
              <w:jc w:val="right"/>
              <w:rPr>
                <w:sz w:val="15"/>
              </w:rPr>
            </w:pPr>
            <w:r>
              <w:rPr>
                <w:sz w:val="15"/>
              </w:rPr>
              <w:t>$0.00</w:t>
            </w:r>
          </w:p>
        </w:tc>
        <w:tc>
          <w:tcPr>
            <w:tcW w:w="898" w:type="dxa"/>
            <w:tcBorders>
              <w:top w:val="single" w:sz="9" w:space="0" w:color="000000"/>
              <w:bottom w:val="single" w:sz="9" w:space="0" w:color="000000"/>
            </w:tcBorders>
          </w:tcPr>
          <w:p>
            <w:pPr>
              <w:pStyle w:val="TableParagraph"/>
              <w:ind w:right="21"/>
              <w:jc w:val="right"/>
              <w:rPr>
                <w:sz w:val="15"/>
              </w:rPr>
            </w:pPr>
            <w:r>
              <w:rPr>
                <w:sz w:val="15"/>
              </w:rPr>
              <w:t>$0.00</w:t>
            </w:r>
          </w:p>
        </w:tc>
        <w:tc>
          <w:tcPr>
            <w:tcW w:w="945" w:type="dxa"/>
            <w:tcBorders>
              <w:top w:val="single" w:sz="9" w:space="0" w:color="000000"/>
              <w:bottom w:val="single" w:sz="9" w:space="0" w:color="000000"/>
            </w:tcBorders>
          </w:tcPr>
          <w:p>
            <w:pPr>
              <w:pStyle w:val="TableParagraph"/>
              <w:ind w:right="21"/>
              <w:jc w:val="right"/>
              <w:rPr>
                <w:sz w:val="15"/>
              </w:rPr>
            </w:pPr>
            <w:r>
              <w:rPr>
                <w:sz w:val="15"/>
              </w:rPr>
              <w:t>$535.00</w:t>
            </w:r>
          </w:p>
        </w:tc>
        <w:tc>
          <w:tcPr>
            <w:tcW w:w="898" w:type="dxa"/>
            <w:tcBorders>
              <w:top w:val="single" w:sz="9" w:space="0" w:color="000000"/>
              <w:bottom w:val="single" w:sz="9" w:space="0" w:color="000000"/>
            </w:tcBorders>
          </w:tcPr>
          <w:p>
            <w:pPr>
              <w:pStyle w:val="TableParagraph"/>
              <w:ind w:right="21"/>
              <w:jc w:val="right"/>
              <w:rPr>
                <w:sz w:val="15"/>
              </w:rPr>
            </w:pPr>
            <w:r>
              <w:rPr>
                <w:sz w:val="15"/>
              </w:rPr>
              <w:t>$561.65</w:t>
            </w:r>
          </w:p>
        </w:tc>
        <w:tc>
          <w:tcPr>
            <w:tcW w:w="780" w:type="dxa"/>
          </w:tcPr>
          <w:p>
            <w:pPr/>
          </w:p>
        </w:tc>
      </w:tr>
      <w:tr>
        <w:trPr>
          <w:trHeight w:val="254" w:hRule="exact"/>
        </w:trPr>
        <w:tc>
          <w:tcPr>
            <w:tcW w:w="2339" w:type="dxa"/>
          </w:tcPr>
          <w:p>
            <w:pPr/>
          </w:p>
        </w:tc>
        <w:tc>
          <w:tcPr>
            <w:tcW w:w="1240" w:type="dxa"/>
            <w:tcBorders>
              <w:top w:val="single" w:sz="9" w:space="0" w:color="000000"/>
            </w:tcBorders>
          </w:tcPr>
          <w:p>
            <w:pPr/>
          </w:p>
        </w:tc>
        <w:tc>
          <w:tcPr>
            <w:tcW w:w="945" w:type="dxa"/>
            <w:tcBorders>
              <w:top w:val="single" w:sz="9" w:space="0" w:color="000000"/>
            </w:tcBorders>
          </w:tcPr>
          <w:p>
            <w:pPr/>
          </w:p>
        </w:tc>
        <w:tc>
          <w:tcPr>
            <w:tcW w:w="945" w:type="dxa"/>
            <w:tcBorders>
              <w:top w:val="single" w:sz="9" w:space="0" w:color="000000"/>
            </w:tcBorders>
          </w:tcPr>
          <w:p>
            <w:pPr/>
          </w:p>
        </w:tc>
        <w:tc>
          <w:tcPr>
            <w:tcW w:w="1040" w:type="dxa"/>
            <w:tcBorders>
              <w:top w:val="single" w:sz="9" w:space="0" w:color="000000"/>
            </w:tcBorders>
          </w:tcPr>
          <w:p>
            <w:pPr/>
          </w:p>
        </w:tc>
        <w:tc>
          <w:tcPr>
            <w:tcW w:w="980" w:type="dxa"/>
            <w:tcBorders>
              <w:top w:val="single" w:sz="9" w:space="0" w:color="000000"/>
            </w:tcBorders>
          </w:tcPr>
          <w:p>
            <w:pPr/>
          </w:p>
        </w:tc>
        <w:tc>
          <w:tcPr>
            <w:tcW w:w="933" w:type="dxa"/>
            <w:tcBorders>
              <w:top w:val="single" w:sz="9" w:space="0" w:color="000000"/>
            </w:tcBorders>
          </w:tcPr>
          <w:p>
            <w:pPr/>
          </w:p>
        </w:tc>
        <w:tc>
          <w:tcPr>
            <w:tcW w:w="898" w:type="dxa"/>
            <w:tcBorders>
              <w:top w:val="single" w:sz="9" w:space="0" w:color="000000"/>
            </w:tcBorders>
          </w:tcPr>
          <w:p>
            <w:pPr/>
          </w:p>
        </w:tc>
        <w:tc>
          <w:tcPr>
            <w:tcW w:w="945" w:type="dxa"/>
            <w:tcBorders>
              <w:top w:val="single" w:sz="9" w:space="0" w:color="000000"/>
            </w:tcBorders>
          </w:tcPr>
          <w:p>
            <w:pPr/>
          </w:p>
        </w:tc>
        <w:tc>
          <w:tcPr>
            <w:tcW w:w="898" w:type="dxa"/>
            <w:tcBorders>
              <w:top w:val="single" w:sz="9" w:space="0" w:color="000000"/>
            </w:tcBorders>
          </w:tcPr>
          <w:p>
            <w:pPr/>
          </w:p>
        </w:tc>
        <w:tc>
          <w:tcPr>
            <w:tcW w:w="780" w:type="dxa"/>
          </w:tcPr>
          <w:p>
            <w:pPr/>
          </w:p>
        </w:tc>
      </w:tr>
      <w:tr>
        <w:trPr>
          <w:trHeight w:val="201" w:hRule="exact"/>
        </w:trPr>
        <w:tc>
          <w:tcPr>
            <w:tcW w:w="6509" w:type="dxa"/>
            <w:gridSpan w:val="5"/>
          </w:tcPr>
          <w:p>
            <w:pPr>
              <w:pStyle w:val="TableParagraph"/>
              <w:ind w:left="24"/>
              <w:rPr>
                <w:sz w:val="15"/>
              </w:rPr>
            </w:pPr>
            <w:r>
              <w:rPr>
                <w:sz w:val="15"/>
              </w:rPr>
              <w:t>All “reimbursements” expenses, regardless of the manner of payment, including direct    pay,</w:t>
            </w: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7489" w:type="dxa"/>
            <w:gridSpan w:val="6"/>
          </w:tcPr>
          <w:p>
            <w:pPr>
              <w:pStyle w:val="TableParagraph"/>
              <w:ind w:left="24"/>
              <w:rPr>
                <w:sz w:val="15"/>
              </w:rPr>
            </w:pPr>
            <w:r>
              <w:rPr>
                <w:sz w:val="15"/>
              </w:rPr>
              <w:t>credit card, cash, and purchase order are to be reported.   Items to be reported per category    include:</w:t>
            </w: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10265" w:type="dxa"/>
            <w:gridSpan w:val="9"/>
            <w:vMerge w:val="restart"/>
          </w:tcPr>
          <w:p>
            <w:pPr>
              <w:pStyle w:val="TableParagraph"/>
              <w:spacing w:before="6"/>
              <w:rPr>
                <w:rFonts w:ascii="Times New Roman"/>
                <w:sz w:val="18"/>
              </w:rPr>
            </w:pPr>
          </w:p>
          <w:p>
            <w:pPr>
              <w:pStyle w:val="TableParagraph"/>
              <w:spacing w:before="0"/>
              <w:ind w:left="23"/>
              <w:rPr>
                <w:sz w:val="15"/>
              </w:rPr>
            </w:pPr>
            <w:r>
              <w:rPr>
                <w:sz w:val="15"/>
              </w:rPr>
              <w:t>Meals – Meals consumed out of town, and in-district meals at area restaurants (outside of board meetings, excludes catered board meeting meals).</w:t>
            </w:r>
          </w:p>
        </w:tc>
        <w:tc>
          <w:tcPr>
            <w:tcW w:w="898" w:type="dxa"/>
          </w:tcPr>
          <w:p>
            <w:pPr/>
          </w:p>
        </w:tc>
        <w:tc>
          <w:tcPr>
            <w:tcW w:w="780" w:type="dxa"/>
          </w:tcPr>
          <w:p>
            <w:pPr/>
          </w:p>
        </w:tc>
      </w:tr>
      <w:tr>
        <w:trPr>
          <w:trHeight w:val="201" w:hRule="exact"/>
        </w:trPr>
        <w:tc>
          <w:tcPr>
            <w:tcW w:w="10265" w:type="dxa"/>
            <w:gridSpan w:val="9"/>
            <w:vMerge/>
          </w:tcPr>
          <w:p>
            <w:pPr/>
          </w:p>
        </w:tc>
        <w:tc>
          <w:tcPr>
            <w:tcW w:w="898" w:type="dxa"/>
          </w:tcPr>
          <w:p>
            <w:pPr/>
          </w:p>
        </w:tc>
        <w:tc>
          <w:tcPr>
            <w:tcW w:w="780" w:type="dxa"/>
          </w:tcPr>
          <w:p>
            <w:pPr/>
          </w:p>
        </w:tc>
      </w:tr>
      <w:tr>
        <w:trPr>
          <w:trHeight w:val="201" w:hRule="exact"/>
        </w:trPr>
        <w:tc>
          <w:tcPr>
            <w:tcW w:w="2339" w:type="dxa"/>
          </w:tcPr>
          <w:p>
            <w:pPr>
              <w:pStyle w:val="TableParagraph"/>
              <w:ind w:left="24"/>
              <w:rPr>
                <w:sz w:val="15"/>
              </w:rPr>
            </w:pPr>
            <w:r>
              <w:rPr>
                <w:sz w:val="15"/>
              </w:rPr>
              <w:t>Lodging - Hotel charges.</w:t>
            </w: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9320" w:type="dxa"/>
            <w:gridSpan w:val="8"/>
          </w:tcPr>
          <w:p>
            <w:pPr>
              <w:pStyle w:val="TableParagraph"/>
              <w:ind w:left="24"/>
              <w:rPr>
                <w:sz w:val="15"/>
              </w:rPr>
            </w:pPr>
            <w:r>
              <w:rPr>
                <w:sz w:val="15"/>
              </w:rPr>
              <w:t>Transportation - Airfare, car rental (can include fuel on rental, taxis, mileage reimbursements, leased cars, parking and tolls).</w:t>
            </w:r>
          </w:p>
        </w:tc>
        <w:tc>
          <w:tcPr>
            <w:tcW w:w="945" w:type="dxa"/>
          </w:tcPr>
          <w:p>
            <w:pPr/>
          </w:p>
        </w:tc>
        <w:tc>
          <w:tcPr>
            <w:tcW w:w="898" w:type="dxa"/>
          </w:tcPr>
          <w:p>
            <w:pPr/>
          </w:p>
        </w:tc>
        <w:tc>
          <w:tcPr>
            <w:tcW w:w="780" w:type="dxa"/>
          </w:tcPr>
          <w:p>
            <w:pPr/>
          </w:p>
        </w:tc>
      </w:tr>
      <w:tr>
        <w:trPr>
          <w:trHeight w:val="201" w:hRule="exact"/>
        </w:trPr>
        <w:tc>
          <w:tcPr>
            <w:tcW w:w="2339" w:type="dxa"/>
          </w:tcPr>
          <w:p>
            <w:pPr>
              <w:pStyle w:val="TableParagraph"/>
              <w:ind w:left="24"/>
              <w:rPr>
                <w:sz w:val="15"/>
              </w:rPr>
            </w:pPr>
            <w:r>
              <w:rPr>
                <w:sz w:val="15"/>
              </w:rPr>
              <w:t>Motor fuel – Gasoline.</w:t>
            </w:r>
          </w:p>
        </w:tc>
        <w:tc>
          <w:tcPr>
            <w:tcW w:w="1240" w:type="dxa"/>
          </w:tcPr>
          <w:p>
            <w:pPr/>
          </w:p>
        </w:tc>
        <w:tc>
          <w:tcPr>
            <w:tcW w:w="945" w:type="dxa"/>
          </w:tcPr>
          <w:p>
            <w:pPr/>
          </w:p>
        </w:tc>
        <w:tc>
          <w:tcPr>
            <w:tcW w:w="945" w:type="dxa"/>
          </w:tcPr>
          <w:p>
            <w:pPr/>
          </w:p>
        </w:tc>
        <w:tc>
          <w:tcPr>
            <w:tcW w:w="1040" w:type="dxa"/>
          </w:tcPr>
          <w:p>
            <w:pP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6509" w:type="dxa"/>
            <w:gridSpan w:val="5"/>
          </w:tcPr>
          <w:p>
            <w:pPr>
              <w:pStyle w:val="TableParagraph"/>
              <w:ind w:left="24"/>
              <w:rPr>
                <w:sz w:val="15"/>
              </w:rPr>
            </w:pPr>
            <w:r>
              <w:rPr>
                <w:sz w:val="15"/>
              </w:rPr>
              <w:t>Other: - Registration fees, telephone/cell phone,  internet service,  fax  machine, and  other</w:t>
            </w: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r>
        <w:trPr>
          <w:trHeight w:val="201" w:hRule="exact"/>
        </w:trPr>
        <w:tc>
          <w:tcPr>
            <w:tcW w:w="6509" w:type="dxa"/>
            <w:gridSpan w:val="5"/>
          </w:tcPr>
          <w:p>
            <w:pPr>
              <w:pStyle w:val="TableParagraph"/>
              <w:ind w:left="24"/>
              <w:rPr>
                <w:sz w:val="15"/>
              </w:rPr>
            </w:pPr>
            <w:r>
              <w:rPr>
                <w:sz w:val="15"/>
              </w:rPr>
              <w:t>reimbursements  (or on-behalf of) to the superintendent and board member not defined    above.</w:t>
            </w:r>
          </w:p>
        </w:tc>
        <w:tc>
          <w:tcPr>
            <w:tcW w:w="980" w:type="dxa"/>
          </w:tcPr>
          <w:p>
            <w:pPr/>
          </w:p>
        </w:tc>
        <w:tc>
          <w:tcPr>
            <w:tcW w:w="933" w:type="dxa"/>
          </w:tcPr>
          <w:p>
            <w:pPr/>
          </w:p>
        </w:tc>
        <w:tc>
          <w:tcPr>
            <w:tcW w:w="898" w:type="dxa"/>
          </w:tcPr>
          <w:p>
            <w:pPr/>
          </w:p>
        </w:tc>
        <w:tc>
          <w:tcPr>
            <w:tcW w:w="945" w:type="dxa"/>
          </w:tcPr>
          <w:p>
            <w:pPr/>
          </w:p>
        </w:tc>
        <w:tc>
          <w:tcPr>
            <w:tcW w:w="898" w:type="dxa"/>
          </w:tcPr>
          <w:p>
            <w:pPr/>
          </w:p>
        </w:tc>
        <w:tc>
          <w:tcPr>
            <w:tcW w:w="780" w:type="dxa"/>
          </w:tcPr>
          <w:p>
            <w:pPr/>
          </w:p>
        </w:tc>
      </w:tr>
    </w:tbl>
    <w:p>
      <w:pPr>
        <w:spacing w:after="0"/>
        <w:sectPr>
          <w:pgSz w:w="14400" w:h="10800" w:orient="landscape"/>
          <w:pgMar w:header="371" w:footer="554" w:top="2420" w:bottom="980" w:left="800" w:right="400"/>
        </w:sectPr>
      </w:pPr>
    </w:p>
    <w:p>
      <w:pPr>
        <w:pStyle w:val="BodyText"/>
        <w:rPr>
          <w:rFonts w:ascii="Times New Roman"/>
          <w:sz w:val="20"/>
        </w:rPr>
      </w:pPr>
      <w:r>
        <w:rPr/>
        <w:drawing>
          <wp:anchor distT="0" distB="0" distL="0" distR="0" allowOverlap="1" layoutInCell="1" locked="0" behindDoc="0" simplePos="0" relativeHeight="1552">
            <wp:simplePos x="0" y="0"/>
            <wp:positionH relativeFrom="page">
              <wp:posOffset>914400</wp:posOffset>
            </wp:positionH>
            <wp:positionV relativeFrom="page">
              <wp:posOffset>304800</wp:posOffset>
            </wp:positionV>
            <wp:extent cx="1667255" cy="638555"/>
            <wp:effectExtent l="0" t="0" r="0" b="0"/>
            <wp:wrapNone/>
            <wp:docPr id="43" name="image2.jpeg" descr=""/>
            <wp:cNvGraphicFramePr>
              <a:graphicFrameLocks noChangeAspect="1"/>
            </wp:cNvGraphicFramePr>
            <a:graphic>
              <a:graphicData uri="http://schemas.openxmlformats.org/drawingml/2006/picture">
                <pic:pic>
                  <pic:nvPicPr>
                    <pic:cNvPr id="44"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1"/>
        </w:rPr>
      </w:pPr>
    </w:p>
    <w:tbl>
      <w:tblPr>
        <w:tblW w:w="0" w:type="auto"/>
        <w:jc w:val="left"/>
        <w:tblInd w:w="744" w:type="dxa"/>
        <w:tblBorders>
          <w:top w:val="single" w:sz="6" w:space="0" w:color="D5D5D5"/>
          <w:left w:val="single" w:sz="6" w:space="0" w:color="D5D5D5"/>
          <w:bottom w:val="single" w:sz="6" w:space="0" w:color="D5D5D5"/>
          <w:right w:val="single" w:sz="6" w:space="0" w:color="D5D5D5"/>
          <w:insideH w:val="single" w:sz="6" w:space="0" w:color="D5D5D5"/>
          <w:insideV w:val="single" w:sz="6" w:space="0" w:color="D5D5D5"/>
        </w:tblBorders>
        <w:tblLayout w:type="fixed"/>
        <w:tblCellMar>
          <w:top w:w="0" w:type="dxa"/>
          <w:left w:w="0" w:type="dxa"/>
          <w:bottom w:w="0" w:type="dxa"/>
          <w:right w:w="0" w:type="dxa"/>
        </w:tblCellMar>
        <w:tblLook w:val="01E0"/>
      </w:tblPr>
      <w:tblGrid>
        <w:gridCol w:w="1044"/>
        <w:gridCol w:w="1044"/>
        <w:gridCol w:w="1044"/>
        <w:gridCol w:w="1044"/>
        <w:gridCol w:w="1044"/>
        <w:gridCol w:w="1044"/>
        <w:gridCol w:w="1044"/>
        <w:gridCol w:w="1044"/>
        <w:gridCol w:w="1044"/>
        <w:gridCol w:w="1044"/>
        <w:gridCol w:w="1044"/>
      </w:tblGrid>
      <w:tr>
        <w:trPr>
          <w:trHeight w:val="277" w:hRule="exact"/>
        </w:trPr>
        <w:tc>
          <w:tcPr>
            <w:tcW w:w="5220" w:type="dxa"/>
            <w:gridSpan w:val="5"/>
          </w:tcPr>
          <w:p>
            <w:pPr>
              <w:pStyle w:val="TableParagraph"/>
              <w:spacing w:before="14"/>
              <w:ind w:left="32"/>
              <w:rPr>
                <w:b/>
                <w:sz w:val="21"/>
              </w:rPr>
            </w:pPr>
            <w:bookmarkStart w:name="Slide Number 22" w:id="35"/>
            <w:bookmarkEnd w:id="35"/>
            <w:r>
              <w:rPr/>
            </w:r>
            <w:r>
              <w:rPr>
                <w:b/>
                <w:sz w:val="21"/>
              </w:rPr>
              <w:t>CARROLL  INDEPENDENT  SCHOOL DISTRICT</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3132" w:type="dxa"/>
            <w:gridSpan w:val="3"/>
          </w:tcPr>
          <w:p>
            <w:pPr>
              <w:pStyle w:val="TableParagraph"/>
              <w:spacing w:before="14"/>
              <w:ind w:left="32"/>
              <w:rPr>
                <w:b/>
                <w:sz w:val="21"/>
              </w:rPr>
            </w:pPr>
            <w:r>
              <w:rPr>
                <w:b/>
                <w:sz w:val="21"/>
              </w:rPr>
              <w:t>2017 SCHOOL FIRST  REPORT</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635" w:hRule="exact"/>
        </w:trPr>
        <w:tc>
          <w:tcPr>
            <w:tcW w:w="11485" w:type="dxa"/>
            <w:gridSpan w:val="11"/>
          </w:tcPr>
          <w:p>
            <w:pPr>
              <w:pStyle w:val="TableParagraph"/>
              <w:spacing w:line="268" w:lineRule="exact" w:before="0"/>
              <w:ind w:left="32"/>
              <w:rPr>
                <w:rFonts w:ascii="Times New Roman"/>
                <w:b/>
                <w:sz w:val="26"/>
              </w:rPr>
            </w:pPr>
            <w:r>
              <w:rPr>
                <w:rFonts w:ascii="Times New Roman"/>
                <w:b/>
                <w:spacing w:val="-6"/>
                <w:sz w:val="26"/>
              </w:rPr>
              <w:t>Outside </w:t>
            </w:r>
            <w:r>
              <w:rPr>
                <w:rFonts w:ascii="Times New Roman"/>
                <w:b/>
                <w:spacing w:val="-5"/>
                <w:sz w:val="26"/>
              </w:rPr>
              <w:t>Compensation </w:t>
            </w:r>
            <w:r>
              <w:rPr>
                <w:rFonts w:ascii="Times New Roman"/>
                <w:b/>
                <w:spacing w:val="-7"/>
                <w:sz w:val="26"/>
              </w:rPr>
              <w:t>and/or </w:t>
            </w:r>
            <w:r>
              <w:rPr>
                <w:rFonts w:ascii="Times New Roman"/>
                <w:b/>
                <w:spacing w:val="3"/>
                <w:sz w:val="26"/>
              </w:rPr>
              <w:t>Fees </w:t>
            </w:r>
            <w:r>
              <w:rPr>
                <w:rFonts w:ascii="Times New Roman"/>
                <w:b/>
                <w:spacing w:val="4"/>
                <w:sz w:val="26"/>
              </w:rPr>
              <w:t>Received </w:t>
            </w:r>
            <w:r>
              <w:rPr>
                <w:rFonts w:ascii="Times New Roman"/>
                <w:b/>
                <w:spacing w:val="-8"/>
                <w:sz w:val="26"/>
              </w:rPr>
              <w:t>by </w:t>
            </w:r>
            <w:r>
              <w:rPr>
                <w:rFonts w:ascii="Times New Roman"/>
                <w:b/>
                <w:spacing w:val="-7"/>
                <w:sz w:val="26"/>
              </w:rPr>
              <w:t>the </w:t>
            </w:r>
            <w:r>
              <w:rPr>
                <w:rFonts w:ascii="Times New Roman"/>
                <w:b/>
                <w:spacing w:val="-6"/>
                <w:sz w:val="26"/>
              </w:rPr>
              <w:t>Superintendent </w:t>
            </w:r>
            <w:r>
              <w:rPr>
                <w:rFonts w:ascii="Times New Roman"/>
                <w:b/>
                <w:sz w:val="26"/>
              </w:rPr>
              <w:t>for Professional </w:t>
            </w:r>
            <w:r>
              <w:rPr>
                <w:rFonts w:ascii="Times New Roman"/>
                <w:b/>
                <w:spacing w:val="-7"/>
                <w:sz w:val="26"/>
              </w:rPr>
              <w:t>Consulting</w:t>
            </w:r>
            <w:r>
              <w:rPr>
                <w:rFonts w:ascii="Times New Roman"/>
                <w:b/>
                <w:spacing w:val="48"/>
                <w:sz w:val="26"/>
              </w:rPr>
              <w:t> </w:t>
            </w:r>
            <w:r>
              <w:rPr>
                <w:rFonts w:ascii="Times New Roman"/>
                <w:b/>
                <w:spacing w:val="-7"/>
                <w:sz w:val="26"/>
              </w:rPr>
              <w:t>and/or</w:t>
            </w:r>
          </w:p>
          <w:p>
            <w:pPr>
              <w:pStyle w:val="TableParagraph"/>
              <w:spacing w:before="42"/>
              <w:ind w:left="32"/>
              <w:rPr>
                <w:rFonts w:ascii="Times New Roman"/>
                <w:b/>
                <w:sz w:val="26"/>
              </w:rPr>
            </w:pPr>
            <w:r>
              <w:rPr>
                <w:rFonts w:ascii="Times New Roman"/>
                <w:b/>
                <w:sz w:val="26"/>
              </w:rPr>
              <w:t>Other Personal Services</w:t>
            </w:r>
          </w:p>
        </w:tc>
      </w:tr>
      <w:tr>
        <w:trPr>
          <w:trHeight w:val="342" w:hRule="exact"/>
        </w:trPr>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3132" w:type="dxa"/>
            <w:gridSpan w:val="3"/>
          </w:tcPr>
          <w:p>
            <w:pPr>
              <w:pStyle w:val="TableParagraph"/>
              <w:spacing w:before="14"/>
              <w:ind w:left="32"/>
              <w:rPr>
                <w:sz w:val="21"/>
              </w:rPr>
            </w:pPr>
            <w:r>
              <w:rPr>
                <w:sz w:val="21"/>
              </w:rPr>
              <w:t>For the Twelve-Month Period</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3132" w:type="dxa"/>
            <w:gridSpan w:val="3"/>
          </w:tcPr>
          <w:p>
            <w:pPr>
              <w:pStyle w:val="TableParagraph"/>
              <w:spacing w:before="14"/>
              <w:ind w:left="32"/>
              <w:rPr>
                <w:sz w:val="21"/>
              </w:rPr>
            </w:pPr>
            <w:r>
              <w:rPr>
                <w:sz w:val="21"/>
              </w:rPr>
              <w:t>Ended August 31, 2016</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3132" w:type="dxa"/>
            <w:gridSpan w:val="3"/>
          </w:tcPr>
          <w:p>
            <w:pPr>
              <w:pStyle w:val="TableParagraph"/>
              <w:spacing w:before="15"/>
              <w:ind w:left="32"/>
              <w:rPr>
                <w:sz w:val="21"/>
              </w:rPr>
            </w:pPr>
            <w:r>
              <w:rPr>
                <w:sz w:val="21"/>
                <w:u w:val="single"/>
              </w:rPr>
              <w:t>Name(s) of Entity(ies)</w:t>
            </w:r>
          </w:p>
        </w:tc>
        <w:tc>
          <w:tcPr>
            <w:tcW w:w="1044" w:type="dxa"/>
          </w:tcPr>
          <w:p>
            <w:pPr/>
          </w:p>
        </w:tc>
        <w:tc>
          <w:tcPr>
            <w:tcW w:w="1044" w:type="dxa"/>
          </w:tcPr>
          <w:p>
            <w:pPr/>
          </w:p>
        </w:tc>
        <w:tc>
          <w:tcPr>
            <w:tcW w:w="1044" w:type="dxa"/>
          </w:tcPr>
          <w:p>
            <w:pPr/>
          </w:p>
        </w:tc>
        <w:tc>
          <w:tcPr>
            <w:tcW w:w="2088" w:type="dxa"/>
            <w:gridSpan w:val="2"/>
          </w:tcPr>
          <w:p>
            <w:pPr>
              <w:pStyle w:val="TableParagraph"/>
              <w:spacing w:before="14"/>
              <w:ind w:left="32"/>
              <w:rPr>
                <w:sz w:val="21"/>
              </w:rPr>
            </w:pPr>
            <w:r>
              <w:rPr>
                <w:sz w:val="21"/>
              </w:rPr>
              <w:t>Amount Received</w:t>
            </w:r>
          </w:p>
        </w:tc>
        <w:tc>
          <w:tcPr>
            <w:tcW w:w="1044" w:type="dxa"/>
          </w:tcPr>
          <w:p>
            <w:pPr/>
          </w:p>
        </w:tc>
        <w:tc>
          <w:tcPr>
            <w:tcW w:w="1044" w:type="dxa"/>
          </w:tcPr>
          <w:p>
            <w:pPr/>
          </w:p>
        </w:tc>
        <w:tc>
          <w:tcPr>
            <w:tcW w:w="1044" w:type="dxa"/>
          </w:tcPr>
          <w:p>
            <w:pPr/>
          </w:p>
        </w:tc>
      </w:tr>
      <w:tr>
        <w:trPr>
          <w:trHeight w:val="277" w:hRule="exact"/>
        </w:trPr>
        <w:tc>
          <w:tcPr>
            <w:tcW w:w="1044" w:type="dxa"/>
          </w:tcPr>
          <w:p>
            <w:pPr>
              <w:pStyle w:val="TableParagraph"/>
              <w:spacing w:before="14"/>
              <w:ind w:left="32"/>
              <w:rPr>
                <w:sz w:val="21"/>
              </w:rPr>
            </w:pPr>
            <w:r>
              <w:rPr>
                <w:sz w:val="21"/>
              </w:rPr>
              <w:t>None</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Style w:val="TableParagraph"/>
              <w:spacing w:before="14"/>
              <w:ind w:right="31"/>
              <w:jc w:val="right"/>
              <w:rPr>
                <w:sz w:val="21"/>
              </w:rPr>
            </w:pPr>
            <w:r>
              <w:rPr>
                <w:sz w:val="21"/>
              </w:rPr>
              <w:t>$0.00</w:t>
            </w:r>
          </w:p>
        </w:tc>
        <w:tc>
          <w:tcPr>
            <w:tcW w:w="1044" w:type="dxa"/>
          </w:tcPr>
          <w:p>
            <w:pPr/>
          </w:p>
        </w:tc>
        <w:tc>
          <w:tcPr>
            <w:tcW w:w="1044" w:type="dxa"/>
          </w:tcPr>
          <w:p>
            <w:pPr/>
          </w:p>
        </w:tc>
        <w:tc>
          <w:tcPr>
            <w:tcW w:w="1044" w:type="dxa"/>
          </w:tcPr>
          <w:p>
            <w:pPr/>
          </w:p>
        </w:tc>
        <w:tc>
          <w:tcPr>
            <w:tcW w:w="1044" w:type="dxa"/>
          </w:tcPr>
          <w:p>
            <w:pPr/>
          </w:p>
        </w:tc>
      </w:tr>
      <w:tr>
        <w:trPr>
          <w:trHeight w:val="293" w:hRule="exact"/>
        </w:trPr>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Borders>
              <w:bottom w:val="single" w:sz="13" w:space="0" w:color="000000"/>
            </w:tcBorders>
          </w:tcPr>
          <w:p>
            <w:pPr/>
          </w:p>
        </w:tc>
        <w:tc>
          <w:tcPr>
            <w:tcW w:w="1044" w:type="dxa"/>
          </w:tcPr>
          <w:p>
            <w:pPr/>
          </w:p>
        </w:tc>
        <w:tc>
          <w:tcPr>
            <w:tcW w:w="1044" w:type="dxa"/>
          </w:tcPr>
          <w:p>
            <w:pPr/>
          </w:p>
        </w:tc>
        <w:tc>
          <w:tcPr>
            <w:tcW w:w="1044" w:type="dxa"/>
          </w:tcPr>
          <w:p>
            <w:pPr/>
          </w:p>
        </w:tc>
        <w:tc>
          <w:tcPr>
            <w:tcW w:w="1044" w:type="dxa"/>
          </w:tcPr>
          <w:p>
            <w:pPr/>
          </w:p>
        </w:tc>
      </w:tr>
      <w:tr>
        <w:trPr>
          <w:trHeight w:val="293" w:hRule="exact"/>
        </w:trPr>
        <w:tc>
          <w:tcPr>
            <w:tcW w:w="1044" w:type="dxa"/>
          </w:tcPr>
          <w:p>
            <w:pPr>
              <w:pStyle w:val="TableParagraph"/>
              <w:spacing w:before="14"/>
              <w:ind w:left="32"/>
              <w:rPr>
                <w:sz w:val="21"/>
              </w:rPr>
            </w:pPr>
            <w:r>
              <w:rPr>
                <w:sz w:val="21"/>
              </w:rPr>
              <w:t>Total</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Borders>
              <w:top w:val="single" w:sz="13" w:space="0" w:color="000000"/>
              <w:bottom w:val="single" w:sz="13" w:space="0" w:color="000000"/>
            </w:tcBorders>
          </w:tcPr>
          <w:p>
            <w:pPr>
              <w:pStyle w:val="TableParagraph"/>
              <w:spacing w:before="6"/>
              <w:ind w:right="31"/>
              <w:jc w:val="right"/>
              <w:rPr>
                <w:sz w:val="21"/>
              </w:rPr>
            </w:pPr>
            <w:r>
              <w:rPr>
                <w:sz w:val="21"/>
              </w:rPr>
              <w:t>$0.00</w:t>
            </w: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Borders>
              <w:top w:val="single" w:sz="13" w:space="0" w:color="000000"/>
            </w:tcBorders>
          </w:tcPr>
          <w:p>
            <w:pPr/>
          </w:p>
        </w:tc>
        <w:tc>
          <w:tcPr>
            <w:tcW w:w="1044" w:type="dxa"/>
          </w:tcPr>
          <w:p>
            <w:pPr/>
          </w:p>
        </w:tc>
        <w:tc>
          <w:tcPr>
            <w:tcW w:w="1044" w:type="dxa"/>
          </w:tcPr>
          <w:p>
            <w:pPr/>
          </w:p>
        </w:tc>
        <w:tc>
          <w:tcPr>
            <w:tcW w:w="1044" w:type="dxa"/>
          </w:tcPr>
          <w:p>
            <w:pPr/>
          </w:p>
        </w:tc>
        <w:tc>
          <w:tcPr>
            <w:tcW w:w="1044" w:type="dxa"/>
          </w:tcPr>
          <w:p>
            <w:pPr/>
          </w:p>
        </w:tc>
      </w:tr>
      <w:tr>
        <w:trPr>
          <w:trHeight w:val="277" w:hRule="exact"/>
        </w:trPr>
        <w:tc>
          <w:tcPr>
            <w:tcW w:w="11485" w:type="dxa"/>
            <w:gridSpan w:val="11"/>
            <w:tcBorders>
              <w:right w:val="nil"/>
            </w:tcBorders>
          </w:tcPr>
          <w:p>
            <w:pPr>
              <w:pStyle w:val="TableParagraph"/>
              <w:spacing w:before="14"/>
              <w:ind w:left="32"/>
              <w:rPr>
                <w:sz w:val="21"/>
              </w:rPr>
            </w:pPr>
            <w:r>
              <w:rPr>
                <w:sz w:val="21"/>
              </w:rPr>
              <w:t>Compensation does not include business revenues generated from a family business (farming, ranching, etc.) that has no</w:t>
            </w:r>
          </w:p>
        </w:tc>
      </w:tr>
      <w:tr>
        <w:trPr>
          <w:trHeight w:val="277" w:hRule="exact"/>
        </w:trPr>
        <w:tc>
          <w:tcPr>
            <w:tcW w:w="4176" w:type="dxa"/>
            <w:gridSpan w:val="4"/>
          </w:tcPr>
          <w:p>
            <w:pPr>
              <w:pStyle w:val="TableParagraph"/>
              <w:spacing w:before="14"/>
              <w:ind w:left="32"/>
              <w:rPr>
                <w:sz w:val="21"/>
              </w:rPr>
            </w:pPr>
            <w:r>
              <w:rPr>
                <w:sz w:val="21"/>
              </w:rPr>
              <w:t>relation to school district  business.</w:t>
            </w: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c>
          <w:tcPr>
            <w:tcW w:w="1044" w:type="dxa"/>
          </w:tcPr>
          <w:p>
            <w:pPr/>
          </w:p>
        </w:tc>
      </w:tr>
    </w:tbl>
    <w:p>
      <w:pPr>
        <w:spacing w:after="0"/>
        <w:sectPr>
          <w:footerReference w:type="default" r:id="rId15"/>
          <w:pgSz w:w="14400" w:h="10800" w:orient="landscape"/>
          <w:pgMar w:footer="1034" w:header="371" w:top="2420" w:bottom="1220" w:left="760" w:right="640"/>
        </w:sectPr>
      </w:pPr>
    </w:p>
    <w:p>
      <w:pPr>
        <w:pStyle w:val="BodyText"/>
        <w:rPr>
          <w:rFonts w:ascii="Times New Roman"/>
          <w:sz w:val="20"/>
        </w:rPr>
      </w:pPr>
      <w:r>
        <w:rPr/>
        <w:drawing>
          <wp:anchor distT="0" distB="0" distL="0" distR="0" allowOverlap="1" layoutInCell="1" locked="0" behindDoc="0" simplePos="0" relativeHeight="1576">
            <wp:simplePos x="0" y="0"/>
            <wp:positionH relativeFrom="page">
              <wp:posOffset>914400</wp:posOffset>
            </wp:positionH>
            <wp:positionV relativeFrom="page">
              <wp:posOffset>304800</wp:posOffset>
            </wp:positionV>
            <wp:extent cx="1667255" cy="638555"/>
            <wp:effectExtent l="0" t="0" r="0" b="0"/>
            <wp:wrapNone/>
            <wp:docPr id="45" name="image2.jpeg" descr=""/>
            <wp:cNvGraphicFramePr>
              <a:graphicFrameLocks noChangeAspect="1"/>
            </wp:cNvGraphicFramePr>
            <a:graphic>
              <a:graphicData uri="http://schemas.openxmlformats.org/drawingml/2006/picture">
                <pic:pic>
                  <pic:nvPicPr>
                    <pic:cNvPr id="46"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2"/>
        </w:rPr>
      </w:pPr>
    </w:p>
    <w:tbl>
      <w:tblPr>
        <w:tblW w:w="0" w:type="auto"/>
        <w:jc w:val="left"/>
        <w:tblInd w:w="1040" w:type="dxa"/>
        <w:tblBorders>
          <w:top w:val="single" w:sz="6" w:space="0" w:color="D5D5D5"/>
          <w:left w:val="single" w:sz="6" w:space="0" w:color="D5D5D5"/>
          <w:bottom w:val="single" w:sz="6" w:space="0" w:color="D5D5D5"/>
          <w:right w:val="single" w:sz="6" w:space="0" w:color="D5D5D5"/>
          <w:insideH w:val="single" w:sz="6" w:space="0" w:color="D5D5D5"/>
          <w:insideV w:val="single" w:sz="6" w:space="0" w:color="D5D5D5"/>
        </w:tblBorders>
        <w:tblLayout w:type="fixed"/>
        <w:tblCellMar>
          <w:top w:w="0" w:type="dxa"/>
          <w:left w:w="0" w:type="dxa"/>
          <w:bottom w:w="0" w:type="dxa"/>
          <w:right w:w="0" w:type="dxa"/>
        </w:tblCellMar>
        <w:tblLook w:val="01E0"/>
      </w:tblPr>
      <w:tblGrid>
        <w:gridCol w:w="962"/>
        <w:gridCol w:w="1213"/>
        <w:gridCol w:w="976"/>
        <w:gridCol w:w="976"/>
        <w:gridCol w:w="864"/>
        <w:gridCol w:w="1088"/>
        <w:gridCol w:w="976"/>
        <w:gridCol w:w="823"/>
        <w:gridCol w:w="837"/>
        <w:gridCol w:w="864"/>
        <w:gridCol w:w="864"/>
      </w:tblGrid>
      <w:tr>
        <w:trPr>
          <w:trHeight w:val="223" w:hRule="exact"/>
        </w:trPr>
        <w:tc>
          <w:tcPr>
            <w:tcW w:w="4127" w:type="dxa"/>
            <w:gridSpan w:val="4"/>
          </w:tcPr>
          <w:p>
            <w:pPr>
              <w:pStyle w:val="TableParagraph"/>
              <w:spacing w:before="16"/>
              <w:ind w:left="27"/>
              <w:rPr>
                <w:b/>
                <w:sz w:val="16"/>
              </w:rPr>
            </w:pPr>
            <w:bookmarkStart w:name="Slide Number 23" w:id="36"/>
            <w:bookmarkEnd w:id="36"/>
            <w:r>
              <w:rPr/>
            </w:r>
            <w:r>
              <w:rPr>
                <w:b/>
                <w:w w:val="105"/>
                <w:sz w:val="16"/>
              </w:rPr>
              <w:t>CARROLL INDEPENDENT SCHOOL DISTRICT</w:t>
            </w: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3151" w:type="dxa"/>
            <w:gridSpan w:val="3"/>
          </w:tcPr>
          <w:p>
            <w:pPr>
              <w:pStyle w:val="TableParagraph"/>
              <w:spacing w:before="16"/>
              <w:ind w:left="27"/>
              <w:rPr>
                <w:b/>
                <w:sz w:val="16"/>
              </w:rPr>
            </w:pPr>
            <w:r>
              <w:rPr>
                <w:b/>
                <w:w w:val="105"/>
                <w:sz w:val="16"/>
              </w:rPr>
              <w:t>2017 SCHOOL FIRST REPORT</w:t>
            </w: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962" w:type="dxa"/>
          </w:tcPr>
          <w:p>
            <w:pPr/>
          </w:p>
        </w:tc>
        <w:tc>
          <w:tcPr>
            <w:tcW w:w="1213" w:type="dxa"/>
          </w:tcPr>
          <w:p>
            <w:pPr/>
          </w:p>
        </w:tc>
        <w:tc>
          <w:tcPr>
            <w:tcW w:w="976" w:type="dxa"/>
          </w:tcPr>
          <w:p>
            <w:pP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962" w:type="dxa"/>
          </w:tcPr>
          <w:p>
            <w:pPr/>
          </w:p>
        </w:tc>
        <w:tc>
          <w:tcPr>
            <w:tcW w:w="1213" w:type="dxa"/>
          </w:tcPr>
          <w:p>
            <w:pPr/>
          </w:p>
        </w:tc>
        <w:tc>
          <w:tcPr>
            <w:tcW w:w="976" w:type="dxa"/>
          </w:tcPr>
          <w:p>
            <w:pP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7878" w:type="dxa"/>
            <w:gridSpan w:val="8"/>
          </w:tcPr>
          <w:p>
            <w:pPr>
              <w:pStyle w:val="TableParagraph"/>
              <w:spacing w:before="17"/>
              <w:ind w:left="362"/>
              <w:rPr>
                <w:rFonts w:ascii="Times New Roman"/>
                <w:b/>
                <w:sz w:val="16"/>
              </w:rPr>
            </w:pPr>
            <w:r>
              <w:rPr>
                <w:rFonts w:ascii="Times New Roman"/>
                <w:b/>
                <w:w w:val="105"/>
                <w:sz w:val="16"/>
              </w:rPr>
              <w:t>Gifts Received by Executive Officers and Board Members (and First Degree Relatives, if any)</w:t>
            </w:r>
          </w:p>
        </w:tc>
        <w:tc>
          <w:tcPr>
            <w:tcW w:w="837" w:type="dxa"/>
          </w:tcPr>
          <w:p>
            <w:pPr/>
          </w:p>
        </w:tc>
        <w:tc>
          <w:tcPr>
            <w:tcW w:w="864" w:type="dxa"/>
          </w:tcPr>
          <w:p>
            <w:pPr/>
          </w:p>
        </w:tc>
        <w:tc>
          <w:tcPr>
            <w:tcW w:w="864" w:type="dxa"/>
          </w:tcPr>
          <w:p>
            <w:pPr/>
          </w:p>
        </w:tc>
      </w:tr>
      <w:tr>
        <w:trPr>
          <w:trHeight w:val="223" w:hRule="exact"/>
        </w:trPr>
        <w:tc>
          <w:tcPr>
            <w:tcW w:w="7055" w:type="dxa"/>
            <w:gridSpan w:val="7"/>
          </w:tcPr>
          <w:p>
            <w:pPr>
              <w:pStyle w:val="TableParagraph"/>
              <w:spacing w:before="17"/>
              <w:ind w:left="362"/>
              <w:rPr>
                <w:rFonts w:ascii="Times New Roman"/>
                <w:b/>
                <w:sz w:val="16"/>
              </w:rPr>
            </w:pPr>
            <w:r>
              <w:rPr>
                <w:rFonts w:ascii="Times New Roman"/>
                <w:b/>
                <w:w w:val="105"/>
                <w:sz w:val="16"/>
              </w:rPr>
              <w:t>(gifts that had an economic value of $250 or more in the aggregate in the fiscal  year)</w:t>
            </w: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962" w:type="dxa"/>
          </w:tcPr>
          <w:p>
            <w:pPr/>
          </w:p>
        </w:tc>
        <w:tc>
          <w:tcPr>
            <w:tcW w:w="1213" w:type="dxa"/>
          </w:tcPr>
          <w:p>
            <w:pPr/>
          </w:p>
        </w:tc>
        <w:tc>
          <w:tcPr>
            <w:tcW w:w="976" w:type="dxa"/>
          </w:tcPr>
          <w:p>
            <w:pP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3151" w:type="dxa"/>
            <w:gridSpan w:val="3"/>
          </w:tcPr>
          <w:p>
            <w:pPr>
              <w:pStyle w:val="TableParagraph"/>
              <w:spacing w:before="17"/>
              <w:ind w:left="27"/>
              <w:rPr>
                <w:sz w:val="16"/>
              </w:rPr>
            </w:pPr>
            <w:r>
              <w:rPr>
                <w:w w:val="105"/>
                <w:sz w:val="16"/>
              </w:rPr>
              <w:t>For the Twelve-Month Period</w:t>
            </w: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2175" w:type="dxa"/>
            <w:gridSpan w:val="2"/>
          </w:tcPr>
          <w:p>
            <w:pPr>
              <w:pStyle w:val="TableParagraph"/>
              <w:spacing w:before="16"/>
              <w:ind w:left="27"/>
              <w:rPr>
                <w:sz w:val="16"/>
              </w:rPr>
            </w:pPr>
            <w:r>
              <w:rPr>
                <w:w w:val="105"/>
                <w:sz w:val="16"/>
              </w:rPr>
              <w:t>Ended August 31, 2016</w:t>
            </w:r>
          </w:p>
        </w:tc>
        <w:tc>
          <w:tcPr>
            <w:tcW w:w="976" w:type="dxa"/>
          </w:tcPr>
          <w:p>
            <w:pPr/>
          </w:p>
        </w:tc>
        <w:tc>
          <w:tcPr>
            <w:tcW w:w="976" w:type="dxa"/>
          </w:tcPr>
          <w:p>
            <w:pPr/>
          </w:p>
        </w:tc>
        <w:tc>
          <w:tcPr>
            <w:tcW w:w="864" w:type="dxa"/>
          </w:tcPr>
          <w:p>
            <w:pPr/>
          </w:p>
        </w:tc>
        <w:tc>
          <w:tcPr>
            <w:tcW w:w="1088" w:type="dxa"/>
          </w:tcPr>
          <w:p>
            <w:pPr/>
          </w:p>
        </w:tc>
        <w:tc>
          <w:tcPr>
            <w:tcW w:w="976" w:type="dxa"/>
          </w:tcPr>
          <w:p>
            <w:pPr/>
          </w:p>
        </w:tc>
        <w:tc>
          <w:tcPr>
            <w:tcW w:w="823" w:type="dxa"/>
          </w:tcPr>
          <w:p>
            <w:pPr/>
          </w:p>
        </w:tc>
        <w:tc>
          <w:tcPr>
            <w:tcW w:w="837" w:type="dxa"/>
          </w:tcPr>
          <w:p>
            <w:pPr/>
          </w:p>
        </w:tc>
        <w:tc>
          <w:tcPr>
            <w:tcW w:w="864" w:type="dxa"/>
          </w:tcPr>
          <w:p>
            <w:pPr/>
          </w:p>
        </w:tc>
        <w:tc>
          <w:tcPr>
            <w:tcW w:w="864" w:type="dxa"/>
          </w:tcPr>
          <w:p>
            <w:pPr/>
          </w:p>
        </w:tc>
      </w:tr>
      <w:tr>
        <w:trPr>
          <w:trHeight w:val="223" w:hRule="exact"/>
        </w:trPr>
        <w:tc>
          <w:tcPr>
            <w:tcW w:w="962" w:type="dxa"/>
          </w:tcPr>
          <w:p>
            <w:pPr/>
          </w:p>
        </w:tc>
        <w:tc>
          <w:tcPr>
            <w:tcW w:w="1213" w:type="dxa"/>
          </w:tcPr>
          <w:p>
            <w:pPr>
              <w:pStyle w:val="TableParagraph"/>
              <w:spacing w:before="16"/>
              <w:ind w:left="390"/>
              <w:rPr>
                <w:sz w:val="16"/>
              </w:rPr>
            </w:pPr>
            <w:r>
              <w:rPr>
                <w:w w:val="105"/>
                <w:sz w:val="16"/>
              </w:rPr>
              <w:t>David</w:t>
            </w:r>
          </w:p>
        </w:tc>
        <w:tc>
          <w:tcPr>
            <w:tcW w:w="976" w:type="dxa"/>
          </w:tcPr>
          <w:p>
            <w:pPr>
              <w:pStyle w:val="TableParagraph"/>
              <w:spacing w:before="16"/>
              <w:ind w:left="278"/>
              <w:rPr>
                <w:sz w:val="16"/>
              </w:rPr>
            </w:pPr>
            <w:r>
              <w:rPr>
                <w:w w:val="105"/>
                <w:sz w:val="16"/>
              </w:rPr>
              <w:t>Chris</w:t>
            </w:r>
          </w:p>
        </w:tc>
        <w:tc>
          <w:tcPr>
            <w:tcW w:w="976" w:type="dxa"/>
          </w:tcPr>
          <w:p>
            <w:pPr>
              <w:pStyle w:val="TableParagraph"/>
              <w:spacing w:before="16"/>
              <w:ind w:left="278"/>
              <w:rPr>
                <w:sz w:val="16"/>
              </w:rPr>
            </w:pPr>
            <w:r>
              <w:rPr>
                <w:w w:val="105"/>
                <w:sz w:val="16"/>
              </w:rPr>
              <w:t>Read</w:t>
            </w:r>
          </w:p>
        </w:tc>
        <w:tc>
          <w:tcPr>
            <w:tcW w:w="864" w:type="dxa"/>
          </w:tcPr>
          <w:p>
            <w:pPr>
              <w:pStyle w:val="TableParagraph"/>
              <w:spacing w:before="16"/>
              <w:ind w:left="236"/>
              <w:rPr>
                <w:sz w:val="16"/>
              </w:rPr>
            </w:pPr>
            <w:r>
              <w:rPr>
                <w:w w:val="105"/>
                <w:sz w:val="16"/>
              </w:rPr>
              <w:t>Todd</w:t>
            </w:r>
          </w:p>
        </w:tc>
        <w:tc>
          <w:tcPr>
            <w:tcW w:w="1088" w:type="dxa"/>
          </w:tcPr>
          <w:p>
            <w:pPr>
              <w:pStyle w:val="TableParagraph"/>
              <w:spacing w:before="16"/>
              <w:ind w:left="292"/>
              <w:rPr>
                <w:sz w:val="16"/>
              </w:rPr>
            </w:pPr>
            <w:r>
              <w:rPr>
                <w:w w:val="105"/>
                <w:sz w:val="16"/>
              </w:rPr>
              <w:t>Danny</w:t>
            </w:r>
          </w:p>
        </w:tc>
        <w:tc>
          <w:tcPr>
            <w:tcW w:w="976" w:type="dxa"/>
          </w:tcPr>
          <w:p>
            <w:pPr>
              <w:pStyle w:val="TableParagraph"/>
              <w:spacing w:before="16"/>
              <w:ind w:left="306"/>
              <w:rPr>
                <w:sz w:val="16"/>
              </w:rPr>
            </w:pPr>
            <w:r>
              <w:rPr>
                <w:w w:val="105"/>
                <w:sz w:val="16"/>
              </w:rPr>
              <w:t>Matt</w:t>
            </w:r>
          </w:p>
        </w:tc>
        <w:tc>
          <w:tcPr>
            <w:tcW w:w="823" w:type="dxa"/>
          </w:tcPr>
          <w:p>
            <w:pPr>
              <w:pStyle w:val="TableParagraph"/>
              <w:spacing w:before="16"/>
              <w:ind w:left="208"/>
              <w:rPr>
                <w:sz w:val="16"/>
              </w:rPr>
            </w:pPr>
            <w:r>
              <w:rPr>
                <w:w w:val="105"/>
                <w:sz w:val="16"/>
              </w:rPr>
              <w:t>Sheri</w:t>
            </w:r>
          </w:p>
        </w:tc>
        <w:tc>
          <w:tcPr>
            <w:tcW w:w="837" w:type="dxa"/>
          </w:tcPr>
          <w:p>
            <w:pPr>
              <w:pStyle w:val="TableParagraph"/>
              <w:spacing w:before="16"/>
              <w:ind w:left="97"/>
              <w:rPr>
                <w:sz w:val="16"/>
              </w:rPr>
            </w:pPr>
            <w:r>
              <w:rPr>
                <w:w w:val="105"/>
                <w:sz w:val="16"/>
              </w:rPr>
              <w:t>Michelle</w:t>
            </w:r>
          </w:p>
        </w:tc>
        <w:tc>
          <w:tcPr>
            <w:tcW w:w="864" w:type="dxa"/>
          </w:tcPr>
          <w:p>
            <w:pPr>
              <w:pStyle w:val="TableParagraph"/>
              <w:spacing w:before="16"/>
              <w:ind w:left="139"/>
              <w:rPr>
                <w:sz w:val="16"/>
              </w:rPr>
            </w:pPr>
            <w:r>
              <w:rPr>
                <w:w w:val="105"/>
                <w:sz w:val="16"/>
              </w:rPr>
              <w:t>Bradley</w:t>
            </w:r>
          </w:p>
        </w:tc>
        <w:tc>
          <w:tcPr>
            <w:tcW w:w="864" w:type="dxa"/>
          </w:tcPr>
          <w:p>
            <w:pPr/>
          </w:p>
        </w:tc>
      </w:tr>
      <w:tr>
        <w:trPr>
          <w:trHeight w:val="223" w:hRule="exact"/>
        </w:trPr>
        <w:tc>
          <w:tcPr>
            <w:tcW w:w="962" w:type="dxa"/>
          </w:tcPr>
          <w:p>
            <w:pPr/>
          </w:p>
        </w:tc>
        <w:tc>
          <w:tcPr>
            <w:tcW w:w="1213" w:type="dxa"/>
          </w:tcPr>
          <w:p>
            <w:pPr>
              <w:pStyle w:val="TableParagraph"/>
              <w:spacing w:before="16"/>
              <w:ind w:left="376"/>
              <w:rPr>
                <w:sz w:val="16"/>
              </w:rPr>
            </w:pPr>
            <w:r>
              <w:rPr>
                <w:w w:val="105"/>
                <w:sz w:val="16"/>
              </w:rPr>
              <w:t>Faltys</w:t>
            </w:r>
          </w:p>
        </w:tc>
        <w:tc>
          <w:tcPr>
            <w:tcW w:w="976" w:type="dxa"/>
          </w:tcPr>
          <w:p>
            <w:pPr>
              <w:pStyle w:val="TableParagraph"/>
              <w:spacing w:before="16"/>
              <w:ind w:left="236"/>
              <w:rPr>
                <w:sz w:val="16"/>
              </w:rPr>
            </w:pPr>
            <w:r>
              <w:rPr>
                <w:w w:val="105"/>
                <w:sz w:val="16"/>
              </w:rPr>
              <w:t>Archer</w:t>
            </w:r>
          </w:p>
        </w:tc>
        <w:tc>
          <w:tcPr>
            <w:tcW w:w="976" w:type="dxa"/>
          </w:tcPr>
          <w:p>
            <w:pPr>
              <w:pStyle w:val="TableParagraph"/>
              <w:spacing w:before="16"/>
              <w:ind w:left="222"/>
              <w:rPr>
                <w:sz w:val="16"/>
              </w:rPr>
            </w:pPr>
            <w:r>
              <w:rPr>
                <w:w w:val="105"/>
                <w:sz w:val="16"/>
              </w:rPr>
              <w:t>Ballew</w:t>
            </w:r>
          </w:p>
        </w:tc>
        <w:tc>
          <w:tcPr>
            <w:tcW w:w="864" w:type="dxa"/>
          </w:tcPr>
          <w:p>
            <w:pPr>
              <w:pStyle w:val="TableParagraph"/>
              <w:spacing w:before="16"/>
              <w:ind w:left="153"/>
              <w:rPr>
                <w:sz w:val="16"/>
              </w:rPr>
            </w:pPr>
            <w:r>
              <w:rPr>
                <w:w w:val="105"/>
                <w:sz w:val="16"/>
              </w:rPr>
              <w:t>Carlton</w:t>
            </w:r>
          </w:p>
        </w:tc>
        <w:tc>
          <w:tcPr>
            <w:tcW w:w="1088" w:type="dxa"/>
          </w:tcPr>
          <w:p>
            <w:pPr>
              <w:pStyle w:val="TableParagraph"/>
              <w:spacing w:before="16"/>
              <w:ind w:left="320"/>
              <w:rPr>
                <w:sz w:val="16"/>
              </w:rPr>
            </w:pPr>
            <w:r>
              <w:rPr>
                <w:w w:val="105"/>
                <w:sz w:val="16"/>
              </w:rPr>
              <w:t>Gilpin</w:t>
            </w:r>
          </w:p>
        </w:tc>
        <w:tc>
          <w:tcPr>
            <w:tcW w:w="976" w:type="dxa"/>
          </w:tcPr>
          <w:p>
            <w:pPr>
              <w:pStyle w:val="TableParagraph"/>
              <w:spacing w:before="16"/>
              <w:ind w:left="125"/>
              <w:rPr>
                <w:sz w:val="16"/>
              </w:rPr>
            </w:pPr>
            <w:r>
              <w:rPr>
                <w:w w:val="105"/>
                <w:sz w:val="16"/>
              </w:rPr>
              <w:t>Kormann</w:t>
            </w:r>
          </w:p>
        </w:tc>
        <w:tc>
          <w:tcPr>
            <w:tcW w:w="823" w:type="dxa"/>
          </w:tcPr>
          <w:p>
            <w:pPr>
              <w:pStyle w:val="TableParagraph"/>
              <w:spacing w:before="16"/>
              <w:ind w:left="236"/>
              <w:rPr>
                <w:sz w:val="16"/>
              </w:rPr>
            </w:pPr>
            <w:r>
              <w:rPr>
                <w:w w:val="105"/>
                <w:sz w:val="16"/>
              </w:rPr>
              <w:t>Mills</w:t>
            </w:r>
          </w:p>
        </w:tc>
        <w:tc>
          <w:tcPr>
            <w:tcW w:w="837" w:type="dxa"/>
          </w:tcPr>
          <w:p>
            <w:pPr>
              <w:pStyle w:val="TableParagraph"/>
              <w:spacing w:before="16"/>
              <w:ind w:left="181"/>
              <w:rPr>
                <w:sz w:val="16"/>
              </w:rPr>
            </w:pPr>
            <w:r>
              <w:rPr>
                <w:w w:val="105"/>
                <w:sz w:val="16"/>
              </w:rPr>
              <w:t>Moore</w:t>
            </w:r>
          </w:p>
        </w:tc>
        <w:tc>
          <w:tcPr>
            <w:tcW w:w="864" w:type="dxa"/>
          </w:tcPr>
          <w:p>
            <w:pPr>
              <w:pStyle w:val="TableParagraph"/>
              <w:spacing w:before="16"/>
              <w:ind w:left="194"/>
              <w:rPr>
                <w:sz w:val="16"/>
              </w:rPr>
            </w:pPr>
            <w:r>
              <w:rPr>
                <w:w w:val="105"/>
                <w:sz w:val="16"/>
              </w:rPr>
              <w:t>Taylor</w:t>
            </w:r>
          </w:p>
        </w:tc>
        <w:tc>
          <w:tcPr>
            <w:tcW w:w="864" w:type="dxa"/>
          </w:tcPr>
          <w:p>
            <w:pPr/>
          </w:p>
        </w:tc>
      </w:tr>
      <w:tr>
        <w:trPr>
          <w:trHeight w:val="223" w:hRule="exact"/>
        </w:trPr>
        <w:tc>
          <w:tcPr>
            <w:tcW w:w="962" w:type="dxa"/>
            <w:vMerge w:val="restart"/>
          </w:tcPr>
          <w:p>
            <w:pPr/>
          </w:p>
        </w:tc>
        <w:tc>
          <w:tcPr>
            <w:tcW w:w="1213" w:type="dxa"/>
            <w:vMerge w:val="restart"/>
          </w:tcPr>
          <w:p>
            <w:pPr>
              <w:pStyle w:val="TableParagraph"/>
              <w:spacing w:before="0"/>
              <w:rPr>
                <w:rFonts w:ascii="Times New Roman"/>
                <w:sz w:val="22"/>
              </w:rPr>
            </w:pPr>
          </w:p>
          <w:p>
            <w:pPr>
              <w:pStyle w:val="TableParagraph"/>
              <w:spacing w:before="0"/>
              <w:ind w:left="13"/>
              <w:rPr>
                <w:sz w:val="16"/>
              </w:rPr>
            </w:pPr>
            <w:r>
              <w:rPr>
                <w:w w:val="105"/>
                <w:sz w:val="16"/>
              </w:rPr>
              <w:t>Superintendent</w:t>
            </w:r>
          </w:p>
        </w:tc>
        <w:tc>
          <w:tcPr>
            <w:tcW w:w="976" w:type="dxa"/>
          </w:tcPr>
          <w:p>
            <w:pPr>
              <w:pStyle w:val="TableParagraph"/>
              <w:spacing w:before="16"/>
              <w:ind w:left="250"/>
              <w:rPr>
                <w:sz w:val="16"/>
              </w:rPr>
            </w:pPr>
            <w:r>
              <w:rPr>
                <w:w w:val="105"/>
                <w:sz w:val="16"/>
              </w:rPr>
              <w:t>Board</w:t>
            </w:r>
          </w:p>
        </w:tc>
        <w:tc>
          <w:tcPr>
            <w:tcW w:w="976" w:type="dxa"/>
          </w:tcPr>
          <w:p>
            <w:pPr>
              <w:pStyle w:val="TableParagraph"/>
              <w:spacing w:before="16"/>
              <w:ind w:left="250"/>
              <w:rPr>
                <w:sz w:val="16"/>
              </w:rPr>
            </w:pPr>
            <w:r>
              <w:rPr>
                <w:w w:val="105"/>
                <w:sz w:val="16"/>
              </w:rPr>
              <w:t>Board</w:t>
            </w:r>
          </w:p>
        </w:tc>
        <w:tc>
          <w:tcPr>
            <w:tcW w:w="864" w:type="dxa"/>
          </w:tcPr>
          <w:p>
            <w:pPr>
              <w:pStyle w:val="TableParagraph"/>
              <w:spacing w:before="16"/>
              <w:ind w:left="194"/>
              <w:rPr>
                <w:sz w:val="16"/>
              </w:rPr>
            </w:pPr>
            <w:r>
              <w:rPr>
                <w:w w:val="105"/>
                <w:sz w:val="16"/>
              </w:rPr>
              <w:t>Board</w:t>
            </w:r>
          </w:p>
        </w:tc>
        <w:tc>
          <w:tcPr>
            <w:tcW w:w="1088" w:type="dxa"/>
          </w:tcPr>
          <w:p>
            <w:pPr>
              <w:pStyle w:val="TableParagraph"/>
              <w:spacing w:before="16"/>
              <w:ind w:left="306"/>
              <w:rPr>
                <w:sz w:val="16"/>
              </w:rPr>
            </w:pPr>
            <w:r>
              <w:rPr>
                <w:w w:val="105"/>
                <w:sz w:val="16"/>
              </w:rPr>
              <w:t>Board</w:t>
            </w:r>
          </w:p>
        </w:tc>
        <w:tc>
          <w:tcPr>
            <w:tcW w:w="976" w:type="dxa"/>
          </w:tcPr>
          <w:p>
            <w:pPr>
              <w:pStyle w:val="TableParagraph"/>
              <w:spacing w:before="16"/>
              <w:ind w:left="250"/>
              <w:rPr>
                <w:sz w:val="16"/>
              </w:rPr>
            </w:pPr>
            <w:r>
              <w:rPr>
                <w:w w:val="105"/>
                <w:sz w:val="16"/>
              </w:rPr>
              <w:t>Board</w:t>
            </w:r>
          </w:p>
        </w:tc>
        <w:tc>
          <w:tcPr>
            <w:tcW w:w="823" w:type="dxa"/>
          </w:tcPr>
          <w:p>
            <w:pPr>
              <w:pStyle w:val="TableParagraph"/>
              <w:spacing w:before="16"/>
              <w:ind w:left="181"/>
              <w:rPr>
                <w:sz w:val="16"/>
              </w:rPr>
            </w:pPr>
            <w:r>
              <w:rPr>
                <w:w w:val="105"/>
                <w:sz w:val="16"/>
              </w:rPr>
              <w:t>Board</w:t>
            </w:r>
          </w:p>
        </w:tc>
        <w:tc>
          <w:tcPr>
            <w:tcW w:w="837" w:type="dxa"/>
          </w:tcPr>
          <w:p>
            <w:pPr>
              <w:pStyle w:val="TableParagraph"/>
              <w:spacing w:before="16"/>
              <w:ind w:left="181"/>
              <w:rPr>
                <w:sz w:val="16"/>
              </w:rPr>
            </w:pPr>
            <w:r>
              <w:rPr>
                <w:w w:val="105"/>
                <w:sz w:val="16"/>
              </w:rPr>
              <w:t>Board</w:t>
            </w:r>
          </w:p>
        </w:tc>
        <w:tc>
          <w:tcPr>
            <w:tcW w:w="864" w:type="dxa"/>
          </w:tcPr>
          <w:p>
            <w:pPr>
              <w:pStyle w:val="TableParagraph"/>
              <w:spacing w:before="16"/>
              <w:ind w:left="194"/>
              <w:rPr>
                <w:sz w:val="16"/>
              </w:rPr>
            </w:pPr>
            <w:r>
              <w:rPr>
                <w:w w:val="105"/>
                <w:sz w:val="16"/>
              </w:rPr>
              <w:t>Board</w:t>
            </w:r>
          </w:p>
        </w:tc>
        <w:tc>
          <w:tcPr>
            <w:tcW w:w="864" w:type="dxa"/>
          </w:tcPr>
          <w:p>
            <w:pPr/>
          </w:p>
        </w:tc>
      </w:tr>
      <w:tr>
        <w:trPr>
          <w:trHeight w:val="230" w:hRule="exact"/>
        </w:trPr>
        <w:tc>
          <w:tcPr>
            <w:tcW w:w="962" w:type="dxa"/>
            <w:vMerge/>
          </w:tcPr>
          <w:p>
            <w:pPr/>
          </w:p>
        </w:tc>
        <w:tc>
          <w:tcPr>
            <w:tcW w:w="1213" w:type="dxa"/>
            <w:vMerge/>
            <w:tcBorders>
              <w:bottom w:val="single" w:sz="11" w:space="0" w:color="000000"/>
            </w:tcBorders>
          </w:tcPr>
          <w:p>
            <w:pPr/>
          </w:p>
        </w:tc>
        <w:tc>
          <w:tcPr>
            <w:tcW w:w="976" w:type="dxa"/>
            <w:tcBorders>
              <w:bottom w:val="single" w:sz="11" w:space="0" w:color="000000"/>
            </w:tcBorders>
          </w:tcPr>
          <w:p>
            <w:pPr>
              <w:pStyle w:val="TableParagraph"/>
              <w:spacing w:before="16"/>
              <w:ind w:left="153"/>
              <w:rPr>
                <w:sz w:val="16"/>
              </w:rPr>
            </w:pPr>
            <w:r>
              <w:rPr>
                <w:w w:val="105"/>
                <w:sz w:val="16"/>
              </w:rPr>
              <w:t>Member</w:t>
            </w:r>
          </w:p>
        </w:tc>
        <w:tc>
          <w:tcPr>
            <w:tcW w:w="976" w:type="dxa"/>
            <w:tcBorders>
              <w:bottom w:val="single" w:sz="11" w:space="0" w:color="000000"/>
            </w:tcBorders>
          </w:tcPr>
          <w:p>
            <w:pPr>
              <w:pStyle w:val="TableParagraph"/>
              <w:spacing w:before="16"/>
              <w:ind w:left="167"/>
              <w:rPr>
                <w:sz w:val="16"/>
              </w:rPr>
            </w:pPr>
            <w:r>
              <w:rPr>
                <w:w w:val="105"/>
                <w:sz w:val="16"/>
              </w:rPr>
              <w:t>Member</w:t>
            </w:r>
          </w:p>
        </w:tc>
        <w:tc>
          <w:tcPr>
            <w:tcW w:w="864" w:type="dxa"/>
            <w:tcBorders>
              <w:bottom w:val="single" w:sz="11" w:space="0" w:color="000000"/>
            </w:tcBorders>
          </w:tcPr>
          <w:p>
            <w:pPr>
              <w:pStyle w:val="TableParagraph"/>
              <w:spacing w:before="16"/>
              <w:ind w:left="111"/>
              <w:rPr>
                <w:sz w:val="16"/>
              </w:rPr>
            </w:pPr>
            <w:r>
              <w:rPr>
                <w:w w:val="105"/>
                <w:sz w:val="16"/>
              </w:rPr>
              <w:t>Member</w:t>
            </w:r>
          </w:p>
        </w:tc>
        <w:tc>
          <w:tcPr>
            <w:tcW w:w="1088" w:type="dxa"/>
            <w:tcBorders>
              <w:bottom w:val="single" w:sz="11" w:space="0" w:color="000000"/>
            </w:tcBorders>
          </w:tcPr>
          <w:p>
            <w:pPr>
              <w:pStyle w:val="TableParagraph"/>
              <w:spacing w:before="16"/>
              <w:ind w:left="222"/>
              <w:rPr>
                <w:sz w:val="16"/>
              </w:rPr>
            </w:pPr>
            <w:r>
              <w:rPr>
                <w:w w:val="105"/>
                <w:sz w:val="16"/>
              </w:rPr>
              <w:t>Member</w:t>
            </w:r>
          </w:p>
        </w:tc>
        <w:tc>
          <w:tcPr>
            <w:tcW w:w="976" w:type="dxa"/>
            <w:tcBorders>
              <w:bottom w:val="single" w:sz="11" w:space="0" w:color="000000"/>
            </w:tcBorders>
          </w:tcPr>
          <w:p>
            <w:pPr>
              <w:pStyle w:val="TableParagraph"/>
              <w:spacing w:before="16"/>
              <w:ind w:left="153"/>
              <w:rPr>
                <w:sz w:val="16"/>
              </w:rPr>
            </w:pPr>
            <w:r>
              <w:rPr>
                <w:w w:val="105"/>
                <w:sz w:val="16"/>
              </w:rPr>
              <w:t>Member</w:t>
            </w:r>
          </w:p>
        </w:tc>
        <w:tc>
          <w:tcPr>
            <w:tcW w:w="823" w:type="dxa"/>
            <w:tcBorders>
              <w:bottom w:val="single" w:sz="11" w:space="0" w:color="000000"/>
            </w:tcBorders>
          </w:tcPr>
          <w:p>
            <w:pPr>
              <w:pStyle w:val="TableParagraph"/>
              <w:spacing w:before="16"/>
              <w:ind w:left="69"/>
              <w:rPr>
                <w:sz w:val="16"/>
              </w:rPr>
            </w:pPr>
            <w:r>
              <w:rPr>
                <w:w w:val="105"/>
                <w:sz w:val="16"/>
              </w:rPr>
              <w:t>Member</w:t>
            </w:r>
          </w:p>
        </w:tc>
        <w:tc>
          <w:tcPr>
            <w:tcW w:w="837" w:type="dxa"/>
            <w:tcBorders>
              <w:bottom w:val="single" w:sz="11" w:space="0" w:color="000000"/>
            </w:tcBorders>
          </w:tcPr>
          <w:p>
            <w:pPr>
              <w:pStyle w:val="TableParagraph"/>
              <w:spacing w:before="16"/>
              <w:ind w:left="83"/>
              <w:rPr>
                <w:sz w:val="16"/>
              </w:rPr>
            </w:pPr>
            <w:r>
              <w:rPr>
                <w:w w:val="105"/>
                <w:sz w:val="16"/>
              </w:rPr>
              <w:t>Member</w:t>
            </w:r>
          </w:p>
        </w:tc>
        <w:tc>
          <w:tcPr>
            <w:tcW w:w="864" w:type="dxa"/>
            <w:tcBorders>
              <w:bottom w:val="single" w:sz="11" w:space="0" w:color="000000"/>
            </w:tcBorders>
          </w:tcPr>
          <w:p>
            <w:pPr>
              <w:pStyle w:val="TableParagraph"/>
              <w:spacing w:before="16"/>
              <w:ind w:left="97"/>
              <w:rPr>
                <w:sz w:val="16"/>
              </w:rPr>
            </w:pPr>
            <w:r>
              <w:rPr>
                <w:w w:val="105"/>
                <w:sz w:val="16"/>
              </w:rPr>
              <w:t>Member</w:t>
            </w:r>
          </w:p>
        </w:tc>
        <w:tc>
          <w:tcPr>
            <w:tcW w:w="864" w:type="dxa"/>
          </w:tcPr>
          <w:p>
            <w:pPr/>
          </w:p>
        </w:tc>
      </w:tr>
      <w:tr>
        <w:trPr>
          <w:trHeight w:val="237" w:hRule="exact"/>
        </w:trPr>
        <w:tc>
          <w:tcPr>
            <w:tcW w:w="962" w:type="dxa"/>
          </w:tcPr>
          <w:p>
            <w:pPr>
              <w:pStyle w:val="TableParagraph"/>
              <w:spacing w:before="23"/>
              <w:ind w:left="27"/>
              <w:rPr>
                <w:sz w:val="16"/>
              </w:rPr>
            </w:pPr>
            <w:r>
              <w:rPr>
                <w:w w:val="105"/>
                <w:sz w:val="16"/>
              </w:rPr>
              <w:t>Total</w:t>
            </w:r>
          </w:p>
        </w:tc>
        <w:tc>
          <w:tcPr>
            <w:tcW w:w="1213" w:type="dxa"/>
            <w:tcBorders>
              <w:top w:val="single" w:sz="11" w:space="0" w:color="000000"/>
              <w:bottom w:val="single" w:sz="11" w:space="0" w:color="000000"/>
            </w:tcBorders>
          </w:tcPr>
          <w:p>
            <w:pPr>
              <w:pStyle w:val="TableParagraph"/>
              <w:spacing w:before="16"/>
              <w:ind w:left="738"/>
              <w:rPr>
                <w:sz w:val="16"/>
              </w:rPr>
            </w:pPr>
            <w:r>
              <w:rPr>
                <w:w w:val="105"/>
                <w:sz w:val="16"/>
              </w:rPr>
              <w:t>$0.00</w:t>
            </w:r>
          </w:p>
        </w:tc>
        <w:tc>
          <w:tcPr>
            <w:tcW w:w="976" w:type="dxa"/>
            <w:tcBorders>
              <w:top w:val="single" w:sz="11" w:space="0" w:color="000000"/>
              <w:bottom w:val="single" w:sz="11" w:space="0" w:color="000000"/>
            </w:tcBorders>
          </w:tcPr>
          <w:p>
            <w:pPr>
              <w:pStyle w:val="TableParagraph"/>
              <w:spacing w:before="16"/>
              <w:ind w:left="501"/>
              <w:rPr>
                <w:sz w:val="16"/>
              </w:rPr>
            </w:pPr>
            <w:r>
              <w:rPr>
                <w:w w:val="105"/>
                <w:sz w:val="16"/>
              </w:rPr>
              <w:t>$0.00</w:t>
            </w:r>
          </w:p>
        </w:tc>
        <w:tc>
          <w:tcPr>
            <w:tcW w:w="976" w:type="dxa"/>
            <w:tcBorders>
              <w:top w:val="single" w:sz="11" w:space="0" w:color="000000"/>
              <w:bottom w:val="single" w:sz="11" w:space="0" w:color="000000"/>
            </w:tcBorders>
          </w:tcPr>
          <w:p>
            <w:pPr>
              <w:pStyle w:val="TableParagraph"/>
              <w:spacing w:before="16"/>
              <w:ind w:left="501"/>
              <w:rPr>
                <w:sz w:val="16"/>
              </w:rPr>
            </w:pPr>
            <w:r>
              <w:rPr>
                <w:w w:val="105"/>
                <w:sz w:val="16"/>
              </w:rPr>
              <w:t>$0.00</w:t>
            </w:r>
          </w:p>
        </w:tc>
        <w:tc>
          <w:tcPr>
            <w:tcW w:w="864" w:type="dxa"/>
            <w:tcBorders>
              <w:top w:val="single" w:sz="11" w:space="0" w:color="000000"/>
              <w:bottom w:val="single" w:sz="11" w:space="0" w:color="000000"/>
            </w:tcBorders>
          </w:tcPr>
          <w:p>
            <w:pPr>
              <w:pStyle w:val="TableParagraph"/>
              <w:spacing w:before="16"/>
              <w:ind w:left="390"/>
              <w:rPr>
                <w:sz w:val="16"/>
              </w:rPr>
            </w:pPr>
            <w:r>
              <w:rPr>
                <w:w w:val="105"/>
                <w:sz w:val="16"/>
              </w:rPr>
              <w:t>$0.00</w:t>
            </w:r>
          </w:p>
        </w:tc>
        <w:tc>
          <w:tcPr>
            <w:tcW w:w="1088" w:type="dxa"/>
            <w:tcBorders>
              <w:top w:val="single" w:sz="11" w:space="0" w:color="000000"/>
              <w:bottom w:val="single" w:sz="11" w:space="0" w:color="000000"/>
            </w:tcBorders>
          </w:tcPr>
          <w:p>
            <w:pPr>
              <w:pStyle w:val="TableParagraph"/>
              <w:spacing w:before="16"/>
              <w:ind w:left="613"/>
              <w:rPr>
                <w:sz w:val="16"/>
              </w:rPr>
            </w:pPr>
            <w:r>
              <w:rPr>
                <w:w w:val="105"/>
                <w:sz w:val="16"/>
              </w:rPr>
              <w:t>$0.00</w:t>
            </w:r>
          </w:p>
        </w:tc>
        <w:tc>
          <w:tcPr>
            <w:tcW w:w="976" w:type="dxa"/>
            <w:tcBorders>
              <w:top w:val="single" w:sz="11" w:space="0" w:color="000000"/>
              <w:bottom w:val="single" w:sz="11" w:space="0" w:color="000000"/>
            </w:tcBorders>
          </w:tcPr>
          <w:p>
            <w:pPr>
              <w:pStyle w:val="TableParagraph"/>
              <w:spacing w:before="16"/>
              <w:ind w:left="501"/>
              <w:rPr>
                <w:sz w:val="16"/>
              </w:rPr>
            </w:pPr>
            <w:r>
              <w:rPr>
                <w:w w:val="105"/>
                <w:sz w:val="16"/>
              </w:rPr>
              <w:t>$0.00</w:t>
            </w:r>
          </w:p>
        </w:tc>
        <w:tc>
          <w:tcPr>
            <w:tcW w:w="823" w:type="dxa"/>
            <w:tcBorders>
              <w:top w:val="single" w:sz="11" w:space="0" w:color="000000"/>
              <w:bottom w:val="single" w:sz="11" w:space="0" w:color="000000"/>
            </w:tcBorders>
          </w:tcPr>
          <w:p>
            <w:pPr>
              <w:pStyle w:val="TableParagraph"/>
              <w:spacing w:before="16"/>
              <w:ind w:left="348"/>
              <w:rPr>
                <w:sz w:val="16"/>
              </w:rPr>
            </w:pPr>
            <w:r>
              <w:rPr>
                <w:w w:val="105"/>
                <w:sz w:val="16"/>
              </w:rPr>
              <w:t>$0.00</w:t>
            </w:r>
          </w:p>
        </w:tc>
        <w:tc>
          <w:tcPr>
            <w:tcW w:w="837" w:type="dxa"/>
            <w:tcBorders>
              <w:top w:val="single" w:sz="11" w:space="0" w:color="000000"/>
              <w:bottom w:val="single" w:sz="11" w:space="0" w:color="000000"/>
            </w:tcBorders>
          </w:tcPr>
          <w:p>
            <w:pPr>
              <w:pStyle w:val="TableParagraph"/>
              <w:spacing w:before="16"/>
              <w:ind w:left="362"/>
              <w:rPr>
                <w:sz w:val="16"/>
              </w:rPr>
            </w:pPr>
            <w:r>
              <w:rPr>
                <w:w w:val="105"/>
                <w:sz w:val="16"/>
              </w:rPr>
              <w:t>$0.00</w:t>
            </w:r>
          </w:p>
        </w:tc>
        <w:tc>
          <w:tcPr>
            <w:tcW w:w="864" w:type="dxa"/>
            <w:tcBorders>
              <w:top w:val="single" w:sz="11" w:space="0" w:color="000000"/>
              <w:bottom w:val="single" w:sz="11" w:space="0" w:color="000000"/>
            </w:tcBorders>
          </w:tcPr>
          <w:p>
            <w:pPr>
              <w:pStyle w:val="TableParagraph"/>
              <w:spacing w:before="16"/>
              <w:ind w:left="390"/>
              <w:rPr>
                <w:sz w:val="16"/>
              </w:rPr>
            </w:pPr>
            <w:r>
              <w:rPr>
                <w:w w:val="105"/>
                <w:sz w:val="16"/>
              </w:rPr>
              <w:t>$0.00</w:t>
            </w:r>
          </w:p>
        </w:tc>
        <w:tc>
          <w:tcPr>
            <w:tcW w:w="864" w:type="dxa"/>
          </w:tcPr>
          <w:p>
            <w:pPr/>
          </w:p>
        </w:tc>
      </w:tr>
      <w:tr>
        <w:trPr>
          <w:trHeight w:val="230" w:hRule="exact"/>
        </w:trPr>
        <w:tc>
          <w:tcPr>
            <w:tcW w:w="962" w:type="dxa"/>
          </w:tcPr>
          <w:p>
            <w:pPr/>
          </w:p>
        </w:tc>
        <w:tc>
          <w:tcPr>
            <w:tcW w:w="1213" w:type="dxa"/>
            <w:tcBorders>
              <w:top w:val="single" w:sz="11" w:space="0" w:color="000000"/>
            </w:tcBorders>
          </w:tcPr>
          <w:p>
            <w:pPr/>
          </w:p>
        </w:tc>
        <w:tc>
          <w:tcPr>
            <w:tcW w:w="976" w:type="dxa"/>
            <w:tcBorders>
              <w:top w:val="single" w:sz="11" w:space="0" w:color="000000"/>
            </w:tcBorders>
          </w:tcPr>
          <w:p>
            <w:pPr/>
          </w:p>
        </w:tc>
        <w:tc>
          <w:tcPr>
            <w:tcW w:w="976" w:type="dxa"/>
            <w:tcBorders>
              <w:top w:val="single" w:sz="11" w:space="0" w:color="000000"/>
            </w:tcBorders>
          </w:tcPr>
          <w:p>
            <w:pPr/>
          </w:p>
        </w:tc>
        <w:tc>
          <w:tcPr>
            <w:tcW w:w="864" w:type="dxa"/>
            <w:tcBorders>
              <w:top w:val="single" w:sz="11" w:space="0" w:color="000000"/>
            </w:tcBorders>
          </w:tcPr>
          <w:p>
            <w:pPr/>
          </w:p>
        </w:tc>
        <w:tc>
          <w:tcPr>
            <w:tcW w:w="1088" w:type="dxa"/>
            <w:tcBorders>
              <w:top w:val="single" w:sz="11" w:space="0" w:color="000000"/>
            </w:tcBorders>
          </w:tcPr>
          <w:p>
            <w:pPr/>
          </w:p>
        </w:tc>
        <w:tc>
          <w:tcPr>
            <w:tcW w:w="976" w:type="dxa"/>
            <w:tcBorders>
              <w:top w:val="single" w:sz="11" w:space="0" w:color="000000"/>
            </w:tcBorders>
          </w:tcPr>
          <w:p>
            <w:pPr/>
          </w:p>
        </w:tc>
        <w:tc>
          <w:tcPr>
            <w:tcW w:w="823" w:type="dxa"/>
            <w:tcBorders>
              <w:top w:val="single" w:sz="11" w:space="0" w:color="000000"/>
            </w:tcBorders>
          </w:tcPr>
          <w:p>
            <w:pPr/>
          </w:p>
        </w:tc>
        <w:tc>
          <w:tcPr>
            <w:tcW w:w="837" w:type="dxa"/>
            <w:tcBorders>
              <w:top w:val="single" w:sz="11" w:space="0" w:color="000000"/>
            </w:tcBorders>
          </w:tcPr>
          <w:p>
            <w:pPr/>
          </w:p>
        </w:tc>
        <w:tc>
          <w:tcPr>
            <w:tcW w:w="864" w:type="dxa"/>
            <w:tcBorders>
              <w:top w:val="single" w:sz="11" w:space="0" w:color="000000"/>
            </w:tcBorders>
          </w:tcPr>
          <w:p>
            <w:pPr/>
          </w:p>
        </w:tc>
        <w:tc>
          <w:tcPr>
            <w:tcW w:w="864" w:type="dxa"/>
          </w:tcPr>
          <w:p>
            <w:pPr/>
          </w:p>
        </w:tc>
      </w:tr>
      <w:tr>
        <w:trPr>
          <w:trHeight w:val="223" w:hRule="exact"/>
        </w:trPr>
        <w:tc>
          <w:tcPr>
            <w:tcW w:w="7878" w:type="dxa"/>
            <w:gridSpan w:val="8"/>
          </w:tcPr>
          <w:p>
            <w:pPr>
              <w:pStyle w:val="TableParagraph"/>
              <w:spacing w:before="17"/>
              <w:ind w:left="27"/>
              <w:rPr>
                <w:sz w:val="16"/>
              </w:rPr>
            </w:pPr>
            <w:r>
              <w:rPr>
                <w:b/>
                <w:w w:val="105"/>
                <w:sz w:val="16"/>
              </w:rPr>
              <w:t>Note – </w:t>
            </w:r>
            <w:r>
              <w:rPr>
                <w:w w:val="105"/>
                <w:sz w:val="16"/>
              </w:rPr>
              <w:t>An executive officer is defined as the superintendent, unless the board of trustees or the</w:t>
            </w:r>
          </w:p>
        </w:tc>
        <w:tc>
          <w:tcPr>
            <w:tcW w:w="837" w:type="dxa"/>
          </w:tcPr>
          <w:p>
            <w:pPr/>
          </w:p>
        </w:tc>
        <w:tc>
          <w:tcPr>
            <w:tcW w:w="864" w:type="dxa"/>
          </w:tcPr>
          <w:p>
            <w:pPr/>
          </w:p>
        </w:tc>
        <w:tc>
          <w:tcPr>
            <w:tcW w:w="864" w:type="dxa"/>
          </w:tcPr>
          <w:p>
            <w:pPr/>
          </w:p>
        </w:tc>
      </w:tr>
      <w:tr>
        <w:trPr>
          <w:trHeight w:val="223" w:hRule="exact"/>
        </w:trPr>
        <w:tc>
          <w:tcPr>
            <w:tcW w:w="7055" w:type="dxa"/>
            <w:gridSpan w:val="7"/>
          </w:tcPr>
          <w:p>
            <w:pPr>
              <w:pStyle w:val="TableParagraph"/>
              <w:spacing w:before="16"/>
              <w:ind w:left="27"/>
              <w:rPr>
                <w:sz w:val="16"/>
              </w:rPr>
            </w:pPr>
            <w:r>
              <w:rPr>
                <w:w w:val="105"/>
                <w:sz w:val="16"/>
              </w:rPr>
              <w:t>district administration names additional staff under this classification for local officials.</w:t>
            </w:r>
          </w:p>
        </w:tc>
        <w:tc>
          <w:tcPr>
            <w:tcW w:w="823" w:type="dxa"/>
          </w:tcPr>
          <w:p>
            <w:pPr/>
          </w:p>
        </w:tc>
        <w:tc>
          <w:tcPr>
            <w:tcW w:w="837" w:type="dxa"/>
          </w:tcPr>
          <w:p>
            <w:pPr/>
          </w:p>
        </w:tc>
        <w:tc>
          <w:tcPr>
            <w:tcW w:w="864" w:type="dxa"/>
          </w:tcPr>
          <w:p>
            <w:pPr/>
          </w:p>
        </w:tc>
        <w:tc>
          <w:tcPr>
            <w:tcW w:w="864" w:type="dxa"/>
          </w:tcPr>
          <w:p>
            <w:pPr/>
          </w:p>
        </w:tc>
      </w:tr>
    </w:tbl>
    <w:p>
      <w:pPr>
        <w:spacing w:after="0"/>
        <w:sectPr>
          <w:footerReference w:type="default" r:id="rId16"/>
          <w:pgSz w:w="14400" w:h="10800" w:orient="landscape"/>
          <w:pgMar w:footer="1274" w:header="371" w:top="2420" w:bottom="1460" w:left="800" w:right="520"/>
        </w:sectPr>
      </w:pPr>
    </w:p>
    <w:p>
      <w:pPr>
        <w:pStyle w:val="BodyText"/>
        <w:rPr>
          <w:rFonts w:ascii="Times New Roman"/>
          <w:sz w:val="20"/>
        </w:rPr>
      </w:pPr>
      <w:r>
        <w:rPr/>
        <w:drawing>
          <wp:anchor distT="0" distB="0" distL="0" distR="0" allowOverlap="1" layoutInCell="1" locked="0" behindDoc="0" simplePos="0" relativeHeight="1600">
            <wp:simplePos x="0" y="0"/>
            <wp:positionH relativeFrom="page">
              <wp:posOffset>914400</wp:posOffset>
            </wp:positionH>
            <wp:positionV relativeFrom="page">
              <wp:posOffset>304800</wp:posOffset>
            </wp:positionV>
            <wp:extent cx="1667255" cy="638555"/>
            <wp:effectExtent l="0" t="0" r="0" b="0"/>
            <wp:wrapNone/>
            <wp:docPr id="47" name="image2.jpeg" descr=""/>
            <wp:cNvGraphicFramePr>
              <a:graphicFrameLocks noChangeAspect="1"/>
            </wp:cNvGraphicFramePr>
            <a:graphic>
              <a:graphicData uri="http://schemas.openxmlformats.org/drawingml/2006/picture">
                <pic:pic>
                  <pic:nvPicPr>
                    <pic:cNvPr id="48"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6"/>
        </w:rPr>
      </w:pPr>
    </w:p>
    <w:tbl>
      <w:tblPr>
        <w:tblW w:w="0" w:type="auto"/>
        <w:jc w:val="left"/>
        <w:tblInd w:w="1875" w:type="dxa"/>
        <w:tblBorders>
          <w:top w:val="single" w:sz="5" w:space="0" w:color="D5D5D5"/>
          <w:left w:val="single" w:sz="5" w:space="0" w:color="D5D5D5"/>
          <w:bottom w:val="single" w:sz="5" w:space="0" w:color="D5D5D5"/>
          <w:right w:val="single" w:sz="5" w:space="0" w:color="D5D5D5"/>
          <w:insideH w:val="single" w:sz="5" w:space="0" w:color="D5D5D5"/>
          <w:insideV w:val="single" w:sz="5" w:space="0" w:color="D5D5D5"/>
        </w:tblBorders>
        <w:tblLayout w:type="fixed"/>
        <w:tblCellMar>
          <w:top w:w="0" w:type="dxa"/>
          <w:left w:w="0" w:type="dxa"/>
          <w:bottom w:w="0" w:type="dxa"/>
          <w:right w:w="0" w:type="dxa"/>
        </w:tblCellMar>
        <w:tblLook w:val="01E0"/>
      </w:tblPr>
      <w:tblGrid>
        <w:gridCol w:w="801"/>
        <w:gridCol w:w="801"/>
        <w:gridCol w:w="938"/>
        <w:gridCol w:w="901"/>
        <w:gridCol w:w="888"/>
        <w:gridCol w:w="876"/>
        <w:gridCol w:w="913"/>
        <w:gridCol w:w="938"/>
        <w:gridCol w:w="863"/>
        <w:gridCol w:w="863"/>
        <w:gridCol w:w="801"/>
      </w:tblGrid>
      <w:tr>
        <w:trPr>
          <w:trHeight w:val="212" w:hRule="exact"/>
        </w:trPr>
        <w:tc>
          <w:tcPr>
            <w:tcW w:w="4328" w:type="dxa"/>
            <w:gridSpan w:val="5"/>
          </w:tcPr>
          <w:p>
            <w:pPr>
              <w:pStyle w:val="TableParagraph"/>
              <w:spacing w:before="12"/>
              <w:ind w:left="24"/>
              <w:rPr>
                <w:b/>
                <w:sz w:val="16"/>
              </w:rPr>
            </w:pPr>
            <w:bookmarkStart w:name="Slide Number 24" w:id="37"/>
            <w:bookmarkEnd w:id="37"/>
            <w:r>
              <w:rPr/>
            </w:r>
            <w:r>
              <w:rPr>
                <w:b/>
                <w:sz w:val="16"/>
              </w:rPr>
              <w:t>CARROLL  INDEPENDENT  SCHOOL DISTRICT</w:t>
            </w: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2539" w:type="dxa"/>
            <w:gridSpan w:val="3"/>
          </w:tcPr>
          <w:p>
            <w:pPr>
              <w:pStyle w:val="TableParagraph"/>
              <w:spacing w:before="12"/>
              <w:ind w:left="24"/>
              <w:rPr>
                <w:b/>
                <w:sz w:val="16"/>
              </w:rPr>
            </w:pPr>
            <w:r>
              <w:rPr>
                <w:b/>
                <w:sz w:val="16"/>
              </w:rPr>
              <w:t>2017 SCHOOL FIRST  REPORT</w:t>
            </w: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801" w:type="dxa"/>
          </w:tcPr>
          <w:p>
            <w:pPr/>
          </w:p>
        </w:tc>
        <w:tc>
          <w:tcPr>
            <w:tcW w:w="801" w:type="dxa"/>
          </w:tcPr>
          <w:p>
            <w:pPr/>
          </w:p>
        </w:tc>
        <w:tc>
          <w:tcPr>
            <w:tcW w:w="938" w:type="dxa"/>
          </w:tcPr>
          <w:p>
            <w:pP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801" w:type="dxa"/>
          </w:tcPr>
          <w:p>
            <w:pPr/>
          </w:p>
        </w:tc>
        <w:tc>
          <w:tcPr>
            <w:tcW w:w="801" w:type="dxa"/>
          </w:tcPr>
          <w:p>
            <w:pPr/>
          </w:p>
        </w:tc>
        <w:tc>
          <w:tcPr>
            <w:tcW w:w="938" w:type="dxa"/>
          </w:tcPr>
          <w:p>
            <w:pP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62" w:hRule="exact"/>
        </w:trPr>
        <w:tc>
          <w:tcPr>
            <w:tcW w:w="6117" w:type="dxa"/>
            <w:gridSpan w:val="7"/>
          </w:tcPr>
          <w:p>
            <w:pPr>
              <w:pStyle w:val="TableParagraph"/>
              <w:ind w:left="325"/>
              <w:rPr>
                <w:rFonts w:ascii="Times New Roman"/>
                <w:b/>
                <w:sz w:val="20"/>
              </w:rPr>
            </w:pPr>
            <w:r>
              <w:rPr>
                <w:rFonts w:ascii="Times New Roman"/>
                <w:b/>
                <w:sz w:val="20"/>
              </w:rPr>
              <w:t>Business </w:t>
            </w:r>
            <w:r>
              <w:rPr>
                <w:rFonts w:ascii="Times New Roman"/>
                <w:b/>
                <w:spacing w:val="-5"/>
                <w:sz w:val="20"/>
              </w:rPr>
              <w:t>Transactions </w:t>
            </w:r>
            <w:r>
              <w:rPr>
                <w:rFonts w:ascii="Times New Roman"/>
                <w:b/>
                <w:sz w:val="20"/>
              </w:rPr>
              <w:t>Between </w:t>
            </w:r>
            <w:r>
              <w:rPr>
                <w:rFonts w:ascii="Times New Roman"/>
                <w:b/>
                <w:spacing w:val="-3"/>
                <w:sz w:val="20"/>
              </w:rPr>
              <w:t>School District </w:t>
            </w:r>
            <w:r>
              <w:rPr>
                <w:rFonts w:ascii="Times New Roman"/>
                <w:b/>
                <w:spacing w:val="-4"/>
                <w:sz w:val="20"/>
              </w:rPr>
              <w:t>and </w:t>
            </w:r>
            <w:r>
              <w:rPr>
                <w:rFonts w:ascii="Times New Roman"/>
                <w:b/>
                <w:sz w:val="20"/>
              </w:rPr>
              <w:t>Board Members</w:t>
            </w:r>
          </w:p>
        </w:tc>
        <w:tc>
          <w:tcPr>
            <w:tcW w:w="938" w:type="dxa"/>
          </w:tcPr>
          <w:p>
            <w:pPr/>
          </w:p>
        </w:tc>
        <w:tc>
          <w:tcPr>
            <w:tcW w:w="863" w:type="dxa"/>
          </w:tcPr>
          <w:p>
            <w:pPr/>
          </w:p>
        </w:tc>
        <w:tc>
          <w:tcPr>
            <w:tcW w:w="863" w:type="dxa"/>
          </w:tcPr>
          <w:p>
            <w:pPr/>
          </w:p>
        </w:tc>
        <w:tc>
          <w:tcPr>
            <w:tcW w:w="801" w:type="dxa"/>
          </w:tcPr>
          <w:p>
            <w:pPr/>
          </w:p>
        </w:tc>
      </w:tr>
      <w:tr>
        <w:trPr>
          <w:trHeight w:val="262" w:hRule="exact"/>
        </w:trPr>
        <w:tc>
          <w:tcPr>
            <w:tcW w:w="801" w:type="dxa"/>
          </w:tcPr>
          <w:p>
            <w:pPr/>
          </w:p>
        </w:tc>
        <w:tc>
          <w:tcPr>
            <w:tcW w:w="801" w:type="dxa"/>
          </w:tcPr>
          <w:p>
            <w:pPr/>
          </w:p>
        </w:tc>
        <w:tc>
          <w:tcPr>
            <w:tcW w:w="938" w:type="dxa"/>
          </w:tcPr>
          <w:p>
            <w:pP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2539" w:type="dxa"/>
            <w:gridSpan w:val="3"/>
          </w:tcPr>
          <w:p>
            <w:pPr>
              <w:pStyle w:val="TableParagraph"/>
              <w:spacing w:before="12"/>
              <w:ind w:left="24"/>
              <w:rPr>
                <w:sz w:val="16"/>
              </w:rPr>
            </w:pPr>
            <w:r>
              <w:rPr>
                <w:sz w:val="16"/>
              </w:rPr>
              <w:t>For the Twelve-Month Period</w:t>
            </w: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2539" w:type="dxa"/>
            <w:gridSpan w:val="3"/>
          </w:tcPr>
          <w:p>
            <w:pPr>
              <w:pStyle w:val="TableParagraph"/>
              <w:spacing w:before="12"/>
              <w:ind w:left="24"/>
              <w:rPr>
                <w:sz w:val="16"/>
              </w:rPr>
            </w:pPr>
            <w:r>
              <w:rPr>
                <w:sz w:val="16"/>
              </w:rPr>
              <w:t>Ended August 31, 2016</w:t>
            </w: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801" w:type="dxa"/>
          </w:tcPr>
          <w:p>
            <w:pPr/>
          </w:p>
        </w:tc>
        <w:tc>
          <w:tcPr>
            <w:tcW w:w="801" w:type="dxa"/>
          </w:tcPr>
          <w:p>
            <w:pPr/>
          </w:p>
        </w:tc>
        <w:tc>
          <w:tcPr>
            <w:tcW w:w="938" w:type="dxa"/>
          </w:tcPr>
          <w:p>
            <w:pPr>
              <w:pStyle w:val="TableParagraph"/>
              <w:spacing w:before="12"/>
              <w:ind w:left="275"/>
              <w:rPr>
                <w:sz w:val="16"/>
              </w:rPr>
            </w:pPr>
            <w:r>
              <w:rPr>
                <w:sz w:val="16"/>
              </w:rPr>
              <w:t>Chris</w:t>
            </w:r>
          </w:p>
        </w:tc>
        <w:tc>
          <w:tcPr>
            <w:tcW w:w="901" w:type="dxa"/>
          </w:tcPr>
          <w:p>
            <w:pPr>
              <w:pStyle w:val="TableParagraph"/>
              <w:spacing w:before="12"/>
              <w:ind w:left="262"/>
              <w:rPr>
                <w:sz w:val="16"/>
              </w:rPr>
            </w:pPr>
            <w:r>
              <w:rPr>
                <w:sz w:val="16"/>
              </w:rPr>
              <w:t>Read</w:t>
            </w:r>
          </w:p>
        </w:tc>
        <w:tc>
          <w:tcPr>
            <w:tcW w:w="888" w:type="dxa"/>
          </w:tcPr>
          <w:p>
            <w:pPr>
              <w:pStyle w:val="TableParagraph"/>
              <w:spacing w:before="12"/>
              <w:ind w:left="262"/>
              <w:rPr>
                <w:sz w:val="16"/>
              </w:rPr>
            </w:pPr>
            <w:r>
              <w:rPr>
                <w:sz w:val="16"/>
              </w:rPr>
              <w:t>Todd</w:t>
            </w:r>
          </w:p>
        </w:tc>
        <w:tc>
          <w:tcPr>
            <w:tcW w:w="876" w:type="dxa"/>
          </w:tcPr>
          <w:p>
            <w:pPr>
              <w:pStyle w:val="TableParagraph"/>
              <w:spacing w:before="12"/>
              <w:ind w:left="200"/>
              <w:rPr>
                <w:sz w:val="16"/>
              </w:rPr>
            </w:pPr>
            <w:r>
              <w:rPr>
                <w:sz w:val="16"/>
              </w:rPr>
              <w:t>Danny</w:t>
            </w:r>
          </w:p>
        </w:tc>
        <w:tc>
          <w:tcPr>
            <w:tcW w:w="913" w:type="dxa"/>
          </w:tcPr>
          <w:p>
            <w:pPr>
              <w:pStyle w:val="TableParagraph"/>
              <w:spacing w:before="12"/>
              <w:ind w:left="287"/>
              <w:rPr>
                <w:sz w:val="16"/>
              </w:rPr>
            </w:pPr>
            <w:r>
              <w:rPr>
                <w:sz w:val="16"/>
              </w:rPr>
              <w:t>Matt</w:t>
            </w:r>
          </w:p>
        </w:tc>
        <w:tc>
          <w:tcPr>
            <w:tcW w:w="938" w:type="dxa"/>
          </w:tcPr>
          <w:p>
            <w:pPr>
              <w:pStyle w:val="TableParagraph"/>
              <w:spacing w:before="12"/>
              <w:ind w:left="275"/>
              <w:rPr>
                <w:sz w:val="16"/>
              </w:rPr>
            </w:pPr>
            <w:r>
              <w:rPr>
                <w:sz w:val="16"/>
              </w:rPr>
              <w:t>Sheri</w:t>
            </w:r>
          </w:p>
        </w:tc>
        <w:tc>
          <w:tcPr>
            <w:tcW w:w="863" w:type="dxa"/>
          </w:tcPr>
          <w:p>
            <w:pPr>
              <w:pStyle w:val="TableParagraph"/>
              <w:spacing w:before="12"/>
              <w:ind w:left="125"/>
              <w:rPr>
                <w:sz w:val="16"/>
              </w:rPr>
            </w:pPr>
            <w:r>
              <w:rPr>
                <w:sz w:val="16"/>
              </w:rPr>
              <w:t>Michelle</w:t>
            </w:r>
          </w:p>
        </w:tc>
        <w:tc>
          <w:tcPr>
            <w:tcW w:w="863" w:type="dxa"/>
          </w:tcPr>
          <w:p>
            <w:pPr>
              <w:pStyle w:val="TableParagraph"/>
              <w:spacing w:before="12"/>
              <w:ind w:left="150"/>
              <w:rPr>
                <w:sz w:val="16"/>
              </w:rPr>
            </w:pPr>
            <w:r>
              <w:rPr>
                <w:sz w:val="16"/>
              </w:rPr>
              <w:t>Bradley</w:t>
            </w:r>
          </w:p>
        </w:tc>
        <w:tc>
          <w:tcPr>
            <w:tcW w:w="801" w:type="dxa"/>
          </w:tcPr>
          <w:p>
            <w:pPr/>
          </w:p>
        </w:tc>
      </w:tr>
      <w:tr>
        <w:trPr>
          <w:trHeight w:val="212" w:hRule="exact"/>
        </w:trPr>
        <w:tc>
          <w:tcPr>
            <w:tcW w:w="801" w:type="dxa"/>
          </w:tcPr>
          <w:p>
            <w:pPr/>
          </w:p>
        </w:tc>
        <w:tc>
          <w:tcPr>
            <w:tcW w:w="801" w:type="dxa"/>
          </w:tcPr>
          <w:p>
            <w:pPr/>
          </w:p>
        </w:tc>
        <w:tc>
          <w:tcPr>
            <w:tcW w:w="938" w:type="dxa"/>
          </w:tcPr>
          <w:p>
            <w:pPr>
              <w:pStyle w:val="TableParagraph"/>
              <w:spacing w:before="12"/>
              <w:ind w:left="225"/>
              <w:rPr>
                <w:sz w:val="16"/>
              </w:rPr>
            </w:pPr>
            <w:r>
              <w:rPr>
                <w:sz w:val="16"/>
              </w:rPr>
              <w:t>Archer</w:t>
            </w:r>
          </w:p>
        </w:tc>
        <w:tc>
          <w:tcPr>
            <w:tcW w:w="901" w:type="dxa"/>
          </w:tcPr>
          <w:p>
            <w:pPr>
              <w:pStyle w:val="TableParagraph"/>
              <w:spacing w:before="12"/>
              <w:ind w:left="212"/>
              <w:rPr>
                <w:sz w:val="16"/>
              </w:rPr>
            </w:pPr>
            <w:r>
              <w:rPr>
                <w:sz w:val="16"/>
              </w:rPr>
              <w:t>Ballew</w:t>
            </w:r>
          </w:p>
        </w:tc>
        <w:tc>
          <w:tcPr>
            <w:tcW w:w="888" w:type="dxa"/>
          </w:tcPr>
          <w:p>
            <w:pPr>
              <w:pStyle w:val="TableParagraph"/>
              <w:spacing w:before="12"/>
              <w:ind w:left="187"/>
              <w:rPr>
                <w:sz w:val="16"/>
              </w:rPr>
            </w:pPr>
            <w:r>
              <w:rPr>
                <w:sz w:val="16"/>
              </w:rPr>
              <w:t>Carlton</w:t>
            </w:r>
          </w:p>
        </w:tc>
        <w:tc>
          <w:tcPr>
            <w:tcW w:w="876" w:type="dxa"/>
          </w:tcPr>
          <w:p>
            <w:pPr>
              <w:pStyle w:val="TableParagraph"/>
              <w:spacing w:before="12"/>
              <w:ind w:left="225"/>
              <w:rPr>
                <w:sz w:val="16"/>
              </w:rPr>
            </w:pPr>
            <w:r>
              <w:rPr>
                <w:sz w:val="16"/>
              </w:rPr>
              <w:t>Gilpin</w:t>
            </w:r>
          </w:p>
        </w:tc>
        <w:tc>
          <w:tcPr>
            <w:tcW w:w="913" w:type="dxa"/>
          </w:tcPr>
          <w:p>
            <w:pPr>
              <w:pStyle w:val="TableParagraph"/>
              <w:spacing w:before="12"/>
              <w:ind w:left="125"/>
              <w:rPr>
                <w:sz w:val="16"/>
              </w:rPr>
            </w:pPr>
            <w:r>
              <w:rPr>
                <w:sz w:val="16"/>
              </w:rPr>
              <w:t>Kormann</w:t>
            </w:r>
          </w:p>
        </w:tc>
        <w:tc>
          <w:tcPr>
            <w:tcW w:w="938" w:type="dxa"/>
          </w:tcPr>
          <w:p>
            <w:pPr>
              <w:pStyle w:val="TableParagraph"/>
              <w:spacing w:before="12"/>
              <w:ind w:left="300"/>
              <w:rPr>
                <w:sz w:val="16"/>
              </w:rPr>
            </w:pPr>
            <w:r>
              <w:rPr>
                <w:sz w:val="16"/>
              </w:rPr>
              <w:t>Mills</w:t>
            </w:r>
          </w:p>
        </w:tc>
        <w:tc>
          <w:tcPr>
            <w:tcW w:w="863" w:type="dxa"/>
          </w:tcPr>
          <w:p>
            <w:pPr>
              <w:pStyle w:val="TableParagraph"/>
              <w:spacing w:before="12"/>
              <w:ind w:left="200"/>
              <w:rPr>
                <w:sz w:val="16"/>
              </w:rPr>
            </w:pPr>
            <w:r>
              <w:rPr>
                <w:sz w:val="16"/>
              </w:rPr>
              <w:t>Moore</w:t>
            </w:r>
          </w:p>
        </w:tc>
        <w:tc>
          <w:tcPr>
            <w:tcW w:w="863" w:type="dxa"/>
          </w:tcPr>
          <w:p>
            <w:pPr>
              <w:pStyle w:val="TableParagraph"/>
              <w:spacing w:before="12"/>
              <w:ind w:left="212"/>
              <w:rPr>
                <w:sz w:val="16"/>
              </w:rPr>
            </w:pPr>
            <w:r>
              <w:rPr>
                <w:sz w:val="16"/>
              </w:rPr>
              <w:t>Taylor</w:t>
            </w:r>
          </w:p>
        </w:tc>
        <w:tc>
          <w:tcPr>
            <w:tcW w:w="801" w:type="dxa"/>
          </w:tcPr>
          <w:p>
            <w:pPr/>
          </w:p>
        </w:tc>
      </w:tr>
      <w:tr>
        <w:trPr>
          <w:trHeight w:val="212" w:hRule="exact"/>
        </w:trPr>
        <w:tc>
          <w:tcPr>
            <w:tcW w:w="801" w:type="dxa"/>
            <w:vMerge w:val="restart"/>
          </w:tcPr>
          <w:p>
            <w:pPr/>
          </w:p>
        </w:tc>
        <w:tc>
          <w:tcPr>
            <w:tcW w:w="801" w:type="dxa"/>
          </w:tcPr>
          <w:p>
            <w:pPr/>
          </w:p>
        </w:tc>
        <w:tc>
          <w:tcPr>
            <w:tcW w:w="938" w:type="dxa"/>
          </w:tcPr>
          <w:p>
            <w:pPr>
              <w:pStyle w:val="TableParagraph"/>
              <w:spacing w:before="12"/>
              <w:ind w:left="250"/>
              <w:rPr>
                <w:sz w:val="16"/>
              </w:rPr>
            </w:pPr>
            <w:r>
              <w:rPr>
                <w:sz w:val="16"/>
              </w:rPr>
              <w:t>Board</w:t>
            </w:r>
          </w:p>
        </w:tc>
        <w:tc>
          <w:tcPr>
            <w:tcW w:w="901" w:type="dxa"/>
          </w:tcPr>
          <w:p>
            <w:pPr>
              <w:pStyle w:val="TableParagraph"/>
              <w:spacing w:before="12"/>
              <w:ind w:left="237"/>
              <w:rPr>
                <w:sz w:val="16"/>
              </w:rPr>
            </w:pPr>
            <w:r>
              <w:rPr>
                <w:sz w:val="16"/>
              </w:rPr>
              <w:t>Board</w:t>
            </w:r>
          </w:p>
        </w:tc>
        <w:tc>
          <w:tcPr>
            <w:tcW w:w="888" w:type="dxa"/>
          </w:tcPr>
          <w:p>
            <w:pPr>
              <w:pStyle w:val="TableParagraph"/>
              <w:spacing w:before="12"/>
              <w:ind w:left="225"/>
              <w:rPr>
                <w:sz w:val="16"/>
              </w:rPr>
            </w:pPr>
            <w:r>
              <w:rPr>
                <w:sz w:val="16"/>
              </w:rPr>
              <w:t>Board</w:t>
            </w:r>
          </w:p>
        </w:tc>
        <w:tc>
          <w:tcPr>
            <w:tcW w:w="876" w:type="dxa"/>
          </w:tcPr>
          <w:p>
            <w:pPr>
              <w:pStyle w:val="TableParagraph"/>
              <w:spacing w:before="12"/>
              <w:ind w:left="225"/>
              <w:rPr>
                <w:sz w:val="16"/>
              </w:rPr>
            </w:pPr>
            <w:r>
              <w:rPr>
                <w:sz w:val="16"/>
              </w:rPr>
              <w:t>Board</w:t>
            </w:r>
          </w:p>
        </w:tc>
        <w:tc>
          <w:tcPr>
            <w:tcW w:w="913" w:type="dxa"/>
          </w:tcPr>
          <w:p>
            <w:pPr>
              <w:pStyle w:val="TableParagraph"/>
              <w:spacing w:before="12"/>
              <w:ind w:left="237"/>
              <w:rPr>
                <w:sz w:val="16"/>
              </w:rPr>
            </w:pPr>
            <w:r>
              <w:rPr>
                <w:sz w:val="16"/>
              </w:rPr>
              <w:t>Board</w:t>
            </w:r>
          </w:p>
        </w:tc>
        <w:tc>
          <w:tcPr>
            <w:tcW w:w="938" w:type="dxa"/>
          </w:tcPr>
          <w:p>
            <w:pPr>
              <w:pStyle w:val="TableParagraph"/>
              <w:spacing w:before="12"/>
              <w:ind w:left="250"/>
              <w:rPr>
                <w:sz w:val="16"/>
              </w:rPr>
            </w:pPr>
            <w:r>
              <w:rPr>
                <w:sz w:val="16"/>
              </w:rPr>
              <w:t>Board</w:t>
            </w:r>
          </w:p>
        </w:tc>
        <w:tc>
          <w:tcPr>
            <w:tcW w:w="863" w:type="dxa"/>
          </w:tcPr>
          <w:p>
            <w:pPr>
              <w:pStyle w:val="TableParagraph"/>
              <w:spacing w:before="12"/>
              <w:ind w:left="212"/>
              <w:rPr>
                <w:sz w:val="16"/>
              </w:rPr>
            </w:pPr>
            <w:r>
              <w:rPr>
                <w:sz w:val="16"/>
              </w:rPr>
              <w:t>Board</w:t>
            </w:r>
          </w:p>
        </w:tc>
        <w:tc>
          <w:tcPr>
            <w:tcW w:w="863" w:type="dxa"/>
          </w:tcPr>
          <w:p>
            <w:pPr>
              <w:pStyle w:val="TableParagraph"/>
              <w:spacing w:before="12"/>
              <w:ind w:left="212"/>
              <w:rPr>
                <w:sz w:val="16"/>
              </w:rPr>
            </w:pPr>
            <w:r>
              <w:rPr>
                <w:sz w:val="16"/>
              </w:rPr>
              <w:t>Board</w:t>
            </w:r>
          </w:p>
        </w:tc>
        <w:tc>
          <w:tcPr>
            <w:tcW w:w="801" w:type="dxa"/>
          </w:tcPr>
          <w:p>
            <w:pPr/>
          </w:p>
        </w:tc>
      </w:tr>
      <w:tr>
        <w:trPr>
          <w:trHeight w:val="218" w:hRule="exact"/>
        </w:trPr>
        <w:tc>
          <w:tcPr>
            <w:tcW w:w="801" w:type="dxa"/>
            <w:vMerge/>
          </w:tcPr>
          <w:p>
            <w:pPr/>
          </w:p>
        </w:tc>
        <w:tc>
          <w:tcPr>
            <w:tcW w:w="801" w:type="dxa"/>
          </w:tcPr>
          <w:p>
            <w:pPr/>
          </w:p>
        </w:tc>
        <w:tc>
          <w:tcPr>
            <w:tcW w:w="938" w:type="dxa"/>
            <w:tcBorders>
              <w:bottom w:val="single" w:sz="10" w:space="0" w:color="000000"/>
            </w:tcBorders>
          </w:tcPr>
          <w:p>
            <w:pPr>
              <w:pStyle w:val="TableParagraph"/>
              <w:spacing w:before="12"/>
              <w:ind w:left="150"/>
              <w:rPr>
                <w:sz w:val="16"/>
              </w:rPr>
            </w:pPr>
            <w:r>
              <w:rPr>
                <w:sz w:val="16"/>
              </w:rPr>
              <w:t>Member</w:t>
            </w:r>
          </w:p>
        </w:tc>
        <w:tc>
          <w:tcPr>
            <w:tcW w:w="901" w:type="dxa"/>
            <w:tcBorders>
              <w:bottom w:val="single" w:sz="10" w:space="0" w:color="000000"/>
            </w:tcBorders>
          </w:tcPr>
          <w:p>
            <w:pPr>
              <w:pStyle w:val="TableParagraph"/>
              <w:spacing w:before="12"/>
              <w:ind w:left="150"/>
              <w:rPr>
                <w:sz w:val="16"/>
              </w:rPr>
            </w:pPr>
            <w:r>
              <w:rPr>
                <w:sz w:val="16"/>
              </w:rPr>
              <w:t>Member</w:t>
            </w:r>
          </w:p>
        </w:tc>
        <w:tc>
          <w:tcPr>
            <w:tcW w:w="888" w:type="dxa"/>
            <w:tcBorders>
              <w:bottom w:val="single" w:sz="10" w:space="0" w:color="000000"/>
            </w:tcBorders>
          </w:tcPr>
          <w:p>
            <w:pPr>
              <w:pStyle w:val="TableParagraph"/>
              <w:spacing w:before="12"/>
              <w:ind w:left="150"/>
              <w:rPr>
                <w:sz w:val="16"/>
              </w:rPr>
            </w:pPr>
            <w:r>
              <w:rPr>
                <w:sz w:val="16"/>
              </w:rPr>
              <w:t>Member</w:t>
            </w:r>
          </w:p>
        </w:tc>
        <w:tc>
          <w:tcPr>
            <w:tcW w:w="876" w:type="dxa"/>
            <w:tcBorders>
              <w:bottom w:val="single" w:sz="10" w:space="0" w:color="000000"/>
            </w:tcBorders>
          </w:tcPr>
          <w:p>
            <w:pPr>
              <w:pStyle w:val="TableParagraph"/>
              <w:spacing w:before="12"/>
              <w:ind w:left="112"/>
              <w:rPr>
                <w:sz w:val="16"/>
              </w:rPr>
            </w:pPr>
            <w:r>
              <w:rPr>
                <w:sz w:val="16"/>
              </w:rPr>
              <w:t>Member</w:t>
            </w:r>
          </w:p>
        </w:tc>
        <w:tc>
          <w:tcPr>
            <w:tcW w:w="913" w:type="dxa"/>
            <w:tcBorders>
              <w:bottom w:val="single" w:sz="10" w:space="0" w:color="000000"/>
            </w:tcBorders>
          </w:tcPr>
          <w:p>
            <w:pPr>
              <w:pStyle w:val="TableParagraph"/>
              <w:spacing w:before="12"/>
              <w:ind w:left="137"/>
              <w:rPr>
                <w:sz w:val="16"/>
              </w:rPr>
            </w:pPr>
            <w:r>
              <w:rPr>
                <w:sz w:val="16"/>
              </w:rPr>
              <w:t>Member</w:t>
            </w:r>
          </w:p>
        </w:tc>
        <w:tc>
          <w:tcPr>
            <w:tcW w:w="938" w:type="dxa"/>
            <w:tcBorders>
              <w:bottom w:val="single" w:sz="10" w:space="0" w:color="000000"/>
            </w:tcBorders>
          </w:tcPr>
          <w:p>
            <w:pPr>
              <w:pStyle w:val="TableParagraph"/>
              <w:spacing w:before="12"/>
              <w:ind w:left="150"/>
              <w:rPr>
                <w:sz w:val="16"/>
              </w:rPr>
            </w:pPr>
            <w:r>
              <w:rPr>
                <w:sz w:val="16"/>
              </w:rPr>
              <w:t>Member</w:t>
            </w:r>
          </w:p>
        </w:tc>
        <w:tc>
          <w:tcPr>
            <w:tcW w:w="863" w:type="dxa"/>
            <w:tcBorders>
              <w:bottom w:val="single" w:sz="10" w:space="0" w:color="000000"/>
            </w:tcBorders>
          </w:tcPr>
          <w:p>
            <w:pPr>
              <w:pStyle w:val="TableParagraph"/>
              <w:spacing w:before="12"/>
              <w:ind w:left="137"/>
              <w:rPr>
                <w:sz w:val="16"/>
              </w:rPr>
            </w:pPr>
            <w:r>
              <w:rPr>
                <w:sz w:val="16"/>
              </w:rPr>
              <w:t>Member</w:t>
            </w:r>
          </w:p>
        </w:tc>
        <w:tc>
          <w:tcPr>
            <w:tcW w:w="863" w:type="dxa"/>
            <w:tcBorders>
              <w:bottom w:val="single" w:sz="10" w:space="0" w:color="000000"/>
            </w:tcBorders>
          </w:tcPr>
          <w:p>
            <w:pPr>
              <w:pStyle w:val="TableParagraph"/>
              <w:spacing w:before="12"/>
              <w:ind w:left="112"/>
              <w:rPr>
                <w:sz w:val="16"/>
              </w:rPr>
            </w:pPr>
            <w:r>
              <w:rPr>
                <w:sz w:val="16"/>
              </w:rPr>
              <w:t>Member</w:t>
            </w:r>
          </w:p>
        </w:tc>
        <w:tc>
          <w:tcPr>
            <w:tcW w:w="801" w:type="dxa"/>
          </w:tcPr>
          <w:p>
            <w:pPr/>
          </w:p>
        </w:tc>
      </w:tr>
      <w:tr>
        <w:trPr>
          <w:trHeight w:val="225" w:hRule="exact"/>
        </w:trPr>
        <w:tc>
          <w:tcPr>
            <w:tcW w:w="801" w:type="dxa"/>
          </w:tcPr>
          <w:p>
            <w:pPr>
              <w:pStyle w:val="TableParagraph"/>
              <w:spacing w:before="18"/>
              <w:ind w:left="24"/>
              <w:rPr>
                <w:sz w:val="16"/>
              </w:rPr>
            </w:pPr>
            <w:r>
              <w:rPr>
                <w:sz w:val="16"/>
              </w:rPr>
              <w:t>Amounts</w:t>
            </w:r>
          </w:p>
        </w:tc>
        <w:tc>
          <w:tcPr>
            <w:tcW w:w="801" w:type="dxa"/>
          </w:tcPr>
          <w:p>
            <w:pPr/>
          </w:p>
        </w:tc>
        <w:tc>
          <w:tcPr>
            <w:tcW w:w="938" w:type="dxa"/>
            <w:tcBorders>
              <w:top w:val="single" w:sz="10" w:space="0" w:color="000000"/>
              <w:bottom w:val="single" w:sz="10" w:space="0" w:color="000000"/>
            </w:tcBorders>
          </w:tcPr>
          <w:p>
            <w:pPr>
              <w:pStyle w:val="TableParagraph"/>
              <w:spacing w:before="12"/>
              <w:ind w:left="500"/>
              <w:rPr>
                <w:sz w:val="16"/>
              </w:rPr>
            </w:pPr>
            <w:r>
              <w:rPr>
                <w:sz w:val="16"/>
              </w:rPr>
              <w:t>$0.00</w:t>
            </w:r>
          </w:p>
        </w:tc>
        <w:tc>
          <w:tcPr>
            <w:tcW w:w="901" w:type="dxa"/>
            <w:tcBorders>
              <w:top w:val="single" w:sz="10" w:space="0" w:color="000000"/>
              <w:bottom w:val="single" w:sz="10" w:space="0" w:color="000000"/>
            </w:tcBorders>
          </w:tcPr>
          <w:p>
            <w:pPr>
              <w:pStyle w:val="TableParagraph"/>
              <w:spacing w:before="12"/>
              <w:ind w:left="462"/>
              <w:rPr>
                <w:sz w:val="16"/>
              </w:rPr>
            </w:pPr>
            <w:r>
              <w:rPr>
                <w:sz w:val="16"/>
              </w:rPr>
              <w:t>$0.00</w:t>
            </w:r>
          </w:p>
        </w:tc>
        <w:tc>
          <w:tcPr>
            <w:tcW w:w="888" w:type="dxa"/>
            <w:tcBorders>
              <w:top w:val="single" w:sz="10" w:space="0" w:color="000000"/>
              <w:bottom w:val="single" w:sz="10" w:space="0" w:color="000000"/>
            </w:tcBorders>
          </w:tcPr>
          <w:p>
            <w:pPr>
              <w:pStyle w:val="TableParagraph"/>
              <w:spacing w:before="12"/>
              <w:ind w:left="450"/>
              <w:rPr>
                <w:sz w:val="16"/>
              </w:rPr>
            </w:pPr>
            <w:r>
              <w:rPr>
                <w:sz w:val="16"/>
              </w:rPr>
              <w:t>$0.00</w:t>
            </w:r>
          </w:p>
        </w:tc>
        <w:tc>
          <w:tcPr>
            <w:tcW w:w="876" w:type="dxa"/>
            <w:tcBorders>
              <w:top w:val="single" w:sz="10" w:space="0" w:color="000000"/>
              <w:bottom w:val="single" w:sz="10" w:space="0" w:color="000000"/>
            </w:tcBorders>
          </w:tcPr>
          <w:p>
            <w:pPr>
              <w:pStyle w:val="TableParagraph"/>
              <w:spacing w:before="12"/>
              <w:ind w:left="437"/>
              <w:rPr>
                <w:sz w:val="16"/>
              </w:rPr>
            </w:pPr>
            <w:r>
              <w:rPr>
                <w:sz w:val="16"/>
              </w:rPr>
              <w:t>$0.00</w:t>
            </w:r>
          </w:p>
        </w:tc>
        <w:tc>
          <w:tcPr>
            <w:tcW w:w="913" w:type="dxa"/>
            <w:tcBorders>
              <w:top w:val="single" w:sz="10" w:space="0" w:color="000000"/>
              <w:bottom w:val="single" w:sz="10" w:space="0" w:color="000000"/>
            </w:tcBorders>
          </w:tcPr>
          <w:p>
            <w:pPr>
              <w:pStyle w:val="TableParagraph"/>
              <w:spacing w:before="12"/>
              <w:ind w:left="475"/>
              <w:rPr>
                <w:sz w:val="16"/>
              </w:rPr>
            </w:pPr>
            <w:r>
              <w:rPr>
                <w:sz w:val="16"/>
              </w:rPr>
              <w:t>$0.00</w:t>
            </w:r>
          </w:p>
        </w:tc>
        <w:tc>
          <w:tcPr>
            <w:tcW w:w="938" w:type="dxa"/>
            <w:tcBorders>
              <w:top w:val="single" w:sz="10" w:space="0" w:color="000000"/>
              <w:bottom w:val="single" w:sz="10" w:space="0" w:color="000000"/>
            </w:tcBorders>
          </w:tcPr>
          <w:p>
            <w:pPr>
              <w:pStyle w:val="TableParagraph"/>
              <w:spacing w:before="12"/>
              <w:ind w:left="500"/>
              <w:rPr>
                <w:sz w:val="16"/>
              </w:rPr>
            </w:pPr>
            <w:r>
              <w:rPr>
                <w:sz w:val="16"/>
              </w:rPr>
              <w:t>$0.00</w:t>
            </w:r>
          </w:p>
        </w:tc>
        <w:tc>
          <w:tcPr>
            <w:tcW w:w="863" w:type="dxa"/>
            <w:tcBorders>
              <w:top w:val="single" w:sz="10" w:space="0" w:color="000000"/>
              <w:bottom w:val="single" w:sz="10" w:space="0" w:color="000000"/>
            </w:tcBorders>
          </w:tcPr>
          <w:p>
            <w:pPr>
              <w:pStyle w:val="TableParagraph"/>
              <w:spacing w:before="12"/>
              <w:ind w:left="425"/>
              <w:rPr>
                <w:sz w:val="16"/>
              </w:rPr>
            </w:pPr>
            <w:r>
              <w:rPr>
                <w:sz w:val="16"/>
              </w:rPr>
              <w:t>$0.00</w:t>
            </w:r>
          </w:p>
        </w:tc>
        <w:tc>
          <w:tcPr>
            <w:tcW w:w="863" w:type="dxa"/>
            <w:tcBorders>
              <w:top w:val="single" w:sz="10" w:space="0" w:color="000000"/>
              <w:bottom w:val="single" w:sz="10" w:space="0" w:color="000000"/>
            </w:tcBorders>
          </w:tcPr>
          <w:p>
            <w:pPr>
              <w:pStyle w:val="TableParagraph"/>
              <w:spacing w:before="12"/>
              <w:ind w:left="425"/>
              <w:rPr>
                <w:sz w:val="16"/>
              </w:rPr>
            </w:pPr>
            <w:r>
              <w:rPr>
                <w:sz w:val="16"/>
              </w:rPr>
              <w:t>$0.00</w:t>
            </w:r>
          </w:p>
        </w:tc>
        <w:tc>
          <w:tcPr>
            <w:tcW w:w="801" w:type="dxa"/>
          </w:tcPr>
          <w:p>
            <w:pPr/>
          </w:p>
        </w:tc>
      </w:tr>
      <w:tr>
        <w:trPr>
          <w:trHeight w:val="218" w:hRule="exact"/>
        </w:trPr>
        <w:tc>
          <w:tcPr>
            <w:tcW w:w="801" w:type="dxa"/>
          </w:tcPr>
          <w:p>
            <w:pPr/>
          </w:p>
        </w:tc>
        <w:tc>
          <w:tcPr>
            <w:tcW w:w="801" w:type="dxa"/>
          </w:tcPr>
          <w:p>
            <w:pPr/>
          </w:p>
        </w:tc>
        <w:tc>
          <w:tcPr>
            <w:tcW w:w="938" w:type="dxa"/>
            <w:tcBorders>
              <w:top w:val="single" w:sz="10" w:space="0" w:color="000000"/>
            </w:tcBorders>
          </w:tcPr>
          <w:p>
            <w:pPr/>
          </w:p>
        </w:tc>
        <w:tc>
          <w:tcPr>
            <w:tcW w:w="901" w:type="dxa"/>
            <w:tcBorders>
              <w:top w:val="single" w:sz="10" w:space="0" w:color="000000"/>
            </w:tcBorders>
          </w:tcPr>
          <w:p>
            <w:pPr/>
          </w:p>
        </w:tc>
        <w:tc>
          <w:tcPr>
            <w:tcW w:w="888" w:type="dxa"/>
            <w:tcBorders>
              <w:top w:val="single" w:sz="10" w:space="0" w:color="000000"/>
            </w:tcBorders>
          </w:tcPr>
          <w:p>
            <w:pPr/>
          </w:p>
        </w:tc>
        <w:tc>
          <w:tcPr>
            <w:tcW w:w="876" w:type="dxa"/>
            <w:tcBorders>
              <w:top w:val="single" w:sz="10" w:space="0" w:color="000000"/>
            </w:tcBorders>
          </w:tcPr>
          <w:p>
            <w:pPr/>
          </w:p>
        </w:tc>
        <w:tc>
          <w:tcPr>
            <w:tcW w:w="913" w:type="dxa"/>
            <w:tcBorders>
              <w:top w:val="single" w:sz="10" w:space="0" w:color="000000"/>
            </w:tcBorders>
          </w:tcPr>
          <w:p>
            <w:pPr/>
          </w:p>
        </w:tc>
        <w:tc>
          <w:tcPr>
            <w:tcW w:w="938" w:type="dxa"/>
            <w:tcBorders>
              <w:top w:val="single" w:sz="10" w:space="0" w:color="000000"/>
            </w:tcBorders>
          </w:tcPr>
          <w:p>
            <w:pPr/>
          </w:p>
        </w:tc>
        <w:tc>
          <w:tcPr>
            <w:tcW w:w="863" w:type="dxa"/>
            <w:tcBorders>
              <w:top w:val="single" w:sz="10" w:space="0" w:color="000000"/>
            </w:tcBorders>
          </w:tcPr>
          <w:p>
            <w:pPr/>
          </w:p>
        </w:tc>
        <w:tc>
          <w:tcPr>
            <w:tcW w:w="863" w:type="dxa"/>
            <w:tcBorders>
              <w:top w:val="single" w:sz="10" w:space="0" w:color="000000"/>
            </w:tcBorders>
          </w:tcPr>
          <w:p>
            <w:pPr/>
          </w:p>
        </w:tc>
        <w:tc>
          <w:tcPr>
            <w:tcW w:w="801" w:type="dxa"/>
          </w:tcPr>
          <w:p>
            <w:pPr/>
          </w:p>
        </w:tc>
      </w:tr>
      <w:tr>
        <w:trPr>
          <w:trHeight w:val="212" w:hRule="exact"/>
        </w:trPr>
        <w:tc>
          <w:tcPr>
            <w:tcW w:w="7055" w:type="dxa"/>
            <w:gridSpan w:val="8"/>
          </w:tcPr>
          <w:p>
            <w:pPr>
              <w:pStyle w:val="TableParagraph"/>
              <w:spacing w:before="12"/>
              <w:ind w:left="24"/>
              <w:rPr>
                <w:sz w:val="16"/>
              </w:rPr>
            </w:pPr>
            <w:r>
              <w:rPr>
                <w:b/>
                <w:sz w:val="16"/>
              </w:rPr>
              <w:t>Note  - </w:t>
            </w:r>
            <w:r>
              <w:rPr>
                <w:sz w:val="16"/>
              </w:rPr>
              <w:t>The summary amounts reported under this disclosure are not    to duplicate the items</w:t>
            </w:r>
          </w:p>
        </w:tc>
        <w:tc>
          <w:tcPr>
            <w:tcW w:w="863" w:type="dxa"/>
          </w:tcPr>
          <w:p>
            <w:pPr/>
          </w:p>
        </w:tc>
        <w:tc>
          <w:tcPr>
            <w:tcW w:w="863" w:type="dxa"/>
          </w:tcPr>
          <w:p>
            <w:pPr/>
          </w:p>
        </w:tc>
        <w:tc>
          <w:tcPr>
            <w:tcW w:w="801" w:type="dxa"/>
          </w:tcPr>
          <w:p>
            <w:pPr/>
          </w:p>
        </w:tc>
      </w:tr>
      <w:tr>
        <w:trPr>
          <w:trHeight w:val="212" w:hRule="exact"/>
        </w:trPr>
        <w:tc>
          <w:tcPr>
            <w:tcW w:w="6117" w:type="dxa"/>
            <w:gridSpan w:val="7"/>
          </w:tcPr>
          <w:p>
            <w:pPr>
              <w:pStyle w:val="TableParagraph"/>
              <w:spacing w:before="12"/>
              <w:ind w:left="24"/>
              <w:rPr>
                <w:sz w:val="16"/>
              </w:rPr>
            </w:pPr>
            <w:r>
              <w:rPr>
                <w:sz w:val="16"/>
              </w:rPr>
              <w:t>disclosed in the summary schedule of reimbursements received by board    members.</w:t>
            </w:r>
          </w:p>
        </w:tc>
        <w:tc>
          <w:tcPr>
            <w:tcW w:w="938" w:type="dxa"/>
          </w:tcPr>
          <w:p>
            <w:pPr/>
          </w:p>
        </w:tc>
        <w:tc>
          <w:tcPr>
            <w:tcW w:w="863" w:type="dxa"/>
          </w:tcPr>
          <w:p>
            <w:pPr/>
          </w:p>
        </w:tc>
        <w:tc>
          <w:tcPr>
            <w:tcW w:w="863" w:type="dxa"/>
          </w:tcPr>
          <w:p>
            <w:pPr/>
          </w:p>
        </w:tc>
        <w:tc>
          <w:tcPr>
            <w:tcW w:w="801" w:type="dxa"/>
          </w:tcPr>
          <w:p>
            <w:pPr/>
          </w:p>
        </w:tc>
      </w:tr>
      <w:tr>
        <w:trPr>
          <w:trHeight w:val="212" w:hRule="exact"/>
        </w:trPr>
        <w:tc>
          <w:tcPr>
            <w:tcW w:w="801" w:type="dxa"/>
          </w:tcPr>
          <w:p>
            <w:pPr/>
          </w:p>
        </w:tc>
        <w:tc>
          <w:tcPr>
            <w:tcW w:w="801" w:type="dxa"/>
          </w:tcPr>
          <w:p>
            <w:pPr/>
          </w:p>
        </w:tc>
        <w:tc>
          <w:tcPr>
            <w:tcW w:w="938" w:type="dxa"/>
          </w:tcPr>
          <w:p>
            <w:pPr/>
          </w:p>
        </w:tc>
        <w:tc>
          <w:tcPr>
            <w:tcW w:w="901" w:type="dxa"/>
          </w:tcPr>
          <w:p>
            <w:pPr/>
          </w:p>
        </w:tc>
        <w:tc>
          <w:tcPr>
            <w:tcW w:w="888" w:type="dxa"/>
          </w:tcPr>
          <w:p>
            <w:pPr/>
          </w:p>
        </w:tc>
        <w:tc>
          <w:tcPr>
            <w:tcW w:w="876" w:type="dxa"/>
          </w:tcPr>
          <w:p>
            <w:pPr/>
          </w:p>
        </w:tc>
        <w:tc>
          <w:tcPr>
            <w:tcW w:w="913" w:type="dxa"/>
          </w:tcPr>
          <w:p>
            <w:pPr/>
          </w:p>
        </w:tc>
        <w:tc>
          <w:tcPr>
            <w:tcW w:w="938" w:type="dxa"/>
          </w:tcPr>
          <w:p>
            <w:pPr/>
          </w:p>
        </w:tc>
        <w:tc>
          <w:tcPr>
            <w:tcW w:w="863" w:type="dxa"/>
          </w:tcPr>
          <w:p>
            <w:pPr/>
          </w:p>
        </w:tc>
        <w:tc>
          <w:tcPr>
            <w:tcW w:w="863" w:type="dxa"/>
          </w:tcPr>
          <w:p>
            <w:pPr/>
          </w:p>
        </w:tc>
        <w:tc>
          <w:tcPr>
            <w:tcW w:w="801" w:type="dxa"/>
          </w:tcPr>
          <w:p>
            <w:pPr/>
          </w:p>
        </w:tc>
      </w:tr>
    </w:tbl>
    <w:p>
      <w:pPr>
        <w:spacing w:after="0"/>
        <w:sectPr>
          <w:footerReference w:type="default" r:id="rId17"/>
          <w:pgSz w:w="14400" w:h="10800" w:orient="landscape"/>
          <w:pgMar w:footer="914" w:header="371" w:top="2420" w:bottom="1100" w:left="760" w:right="640"/>
        </w:sectPr>
      </w:pPr>
    </w:p>
    <w:p>
      <w:pPr>
        <w:pStyle w:val="BodyText"/>
        <w:rPr>
          <w:rFonts w:ascii="Times New Roman"/>
          <w:sz w:val="9"/>
        </w:rPr>
      </w:pPr>
      <w:r>
        <w:rPr/>
        <w:drawing>
          <wp:anchor distT="0" distB="0" distL="0" distR="0" allowOverlap="1" layoutInCell="1" locked="0" behindDoc="0" simplePos="0" relativeHeight="1624">
            <wp:simplePos x="0" y="0"/>
            <wp:positionH relativeFrom="page">
              <wp:posOffset>914400</wp:posOffset>
            </wp:positionH>
            <wp:positionV relativeFrom="page">
              <wp:posOffset>304800</wp:posOffset>
            </wp:positionV>
            <wp:extent cx="1667255" cy="638555"/>
            <wp:effectExtent l="0" t="0" r="0" b="0"/>
            <wp:wrapNone/>
            <wp:docPr id="49" name="image2.jpeg" descr=""/>
            <wp:cNvGraphicFramePr>
              <a:graphicFrameLocks noChangeAspect="1"/>
            </wp:cNvGraphicFramePr>
            <a:graphic>
              <a:graphicData uri="http://schemas.openxmlformats.org/drawingml/2006/picture">
                <pic:pic>
                  <pic:nvPicPr>
                    <pic:cNvPr id="50"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spacing w:before="84"/>
        <w:ind w:left="103" w:right="182" w:firstLine="0"/>
        <w:jc w:val="center"/>
        <w:rPr>
          <w:sz w:val="48"/>
        </w:rPr>
      </w:pPr>
      <w:bookmarkStart w:name="Slide Number 25" w:id="38"/>
      <w:bookmarkEnd w:id="38"/>
      <w:r>
        <w:rPr/>
      </w:r>
      <w:r>
        <w:rPr>
          <w:sz w:val="48"/>
        </w:rPr>
        <w:t>A copy of the Superintendent’s contract is available online at</w:t>
      </w:r>
    </w:p>
    <w:p>
      <w:pPr>
        <w:spacing w:before="23"/>
        <w:ind w:left="4073" w:right="0" w:firstLine="0"/>
        <w:jc w:val="left"/>
        <w:rPr>
          <w:sz w:val="48"/>
        </w:rPr>
      </w:pPr>
      <w:r>
        <w:rPr>
          <w:sz w:val="48"/>
        </w:rPr>
        <w:t>the Carroll ISD Webpage:</w:t>
      </w:r>
    </w:p>
    <w:p>
      <w:pPr>
        <w:pStyle w:val="BodyText"/>
        <w:rPr>
          <w:sz w:val="54"/>
        </w:rPr>
      </w:pPr>
    </w:p>
    <w:p>
      <w:pPr>
        <w:spacing w:before="439"/>
        <w:ind w:left="812" w:right="0" w:firstLine="0"/>
        <w:jc w:val="left"/>
        <w:rPr>
          <w:sz w:val="48"/>
        </w:rPr>
      </w:pPr>
      <w:r>
        <w:rPr>
          <w:sz w:val="48"/>
        </w:rPr>
        <w:t>(Visit the Superintendent’s webpage under </w:t>
      </w:r>
      <w:r>
        <w:rPr>
          <w:i/>
          <w:sz w:val="48"/>
        </w:rPr>
        <w:t>About Us</w:t>
      </w:r>
      <w:r>
        <w:rPr>
          <w:sz w:val="48"/>
        </w:rPr>
        <w:t>.)</w:t>
      </w:r>
    </w:p>
    <w:p>
      <w:pPr>
        <w:pStyle w:val="BodyText"/>
        <w:spacing w:before="3"/>
        <w:rPr>
          <w:sz w:val="66"/>
        </w:rPr>
      </w:pPr>
    </w:p>
    <w:p>
      <w:pPr>
        <w:spacing w:line="249" w:lineRule="auto" w:before="0"/>
        <w:ind w:left="843" w:right="0" w:firstLine="0"/>
        <w:jc w:val="left"/>
        <w:rPr>
          <w:sz w:val="24"/>
        </w:rPr>
      </w:pPr>
      <w:hyperlink r:id="rId18">
        <w:r>
          <w:rPr>
            <w:color w:val="009999"/>
            <w:spacing w:val="-2"/>
            <w:sz w:val="24"/>
            <w:u w:val="single" w:color="009999"/>
          </w:rPr>
          <w:t>https://docs.google.com/viewerng/viewer?url=https://www.southlakecarroll.edu//cms/lib/TX02219131/Centricity/</w:t>
        </w:r>
      </w:hyperlink>
      <w:r>
        <w:rPr>
          <w:color w:val="009999"/>
          <w:spacing w:val="-2"/>
          <w:sz w:val="24"/>
          <w:u w:val="single" w:color="009999"/>
        </w:rPr>
        <w:t> </w:t>
      </w:r>
      <w:r>
        <w:rPr>
          <w:color w:val="009999"/>
          <w:sz w:val="24"/>
          <w:u w:val="single" w:color="009999"/>
        </w:rPr>
        <w:t>Domain/88/FaltysContract.pdf</w:t>
      </w:r>
    </w:p>
    <w:p>
      <w:pPr>
        <w:spacing w:after="0" w:line="249" w:lineRule="auto"/>
        <w:jc w:val="left"/>
        <w:rPr>
          <w:sz w:val="24"/>
        </w:rPr>
        <w:sectPr>
          <w:pgSz w:w="14400" w:h="10800" w:orient="landscape"/>
          <w:pgMar w:header="371" w:footer="914" w:top="2420" w:bottom="1100" w:left="600" w:right="640"/>
        </w:sectPr>
      </w:pPr>
    </w:p>
    <w:p>
      <w:pPr>
        <w:pStyle w:val="BodyText"/>
        <w:rPr>
          <w:sz w:val="20"/>
        </w:rPr>
      </w:pPr>
      <w:r>
        <w:rPr/>
        <w:drawing>
          <wp:anchor distT="0" distB="0" distL="0" distR="0" allowOverlap="1" layoutInCell="1" locked="0" behindDoc="1" simplePos="0" relativeHeight="268378775">
            <wp:simplePos x="0" y="0"/>
            <wp:positionH relativeFrom="page">
              <wp:posOffset>914400</wp:posOffset>
            </wp:positionH>
            <wp:positionV relativeFrom="page">
              <wp:posOffset>304800</wp:posOffset>
            </wp:positionV>
            <wp:extent cx="1667255" cy="638555"/>
            <wp:effectExtent l="0" t="0" r="0" b="0"/>
            <wp:wrapNone/>
            <wp:docPr id="51" name="image2.jpeg" descr=""/>
            <wp:cNvGraphicFramePr>
              <a:graphicFrameLocks noChangeAspect="1"/>
            </wp:cNvGraphicFramePr>
            <a:graphic>
              <a:graphicData uri="http://schemas.openxmlformats.org/drawingml/2006/picture">
                <pic:pic>
                  <pic:nvPicPr>
                    <pic:cNvPr id="52" name="image2.jpeg"/>
                    <pic:cNvPicPr/>
                  </pic:nvPicPr>
                  <pic:blipFill>
                    <a:blip r:embed="rId6" cstate="print"/>
                    <a:stretch>
                      <a:fillRect/>
                    </a:stretch>
                  </pic:blipFill>
                  <pic:spPr>
                    <a:xfrm>
                      <a:off x="0" y="0"/>
                      <a:ext cx="1667255" cy="638555"/>
                    </a:xfrm>
                    <a:prstGeom prst="rect">
                      <a:avLst/>
                    </a:prstGeom>
                  </pic:spPr>
                </pic:pic>
              </a:graphicData>
            </a:graphic>
          </wp:anchor>
        </w:drawing>
      </w:r>
    </w:p>
    <w:p>
      <w:pPr>
        <w:pStyle w:val="BodyText"/>
        <w:rPr>
          <w:sz w:val="20"/>
        </w:rPr>
      </w:pPr>
    </w:p>
    <w:p>
      <w:pPr>
        <w:pStyle w:val="BodyText"/>
        <w:rPr>
          <w:sz w:val="20"/>
        </w:rPr>
      </w:pPr>
    </w:p>
    <w:p>
      <w:pPr>
        <w:spacing w:line="300" w:lineRule="auto" w:before="221"/>
        <w:ind w:left="2591" w:right="2594" w:firstLine="0"/>
        <w:jc w:val="center"/>
        <w:rPr>
          <w:sz w:val="64"/>
        </w:rPr>
      </w:pPr>
      <w:bookmarkStart w:name="Slide Number 26" w:id="39"/>
      <w:bookmarkEnd w:id="39"/>
      <w:r>
        <w:rPr/>
      </w:r>
      <w:r>
        <w:rPr>
          <w:sz w:val="64"/>
        </w:rPr>
        <w:t>Questions and Comments: Please contact</w:t>
      </w:r>
    </w:p>
    <w:p>
      <w:pPr>
        <w:spacing w:line="300" w:lineRule="auto" w:before="6"/>
        <w:ind w:left="991" w:right="993" w:firstLine="0"/>
        <w:jc w:val="center"/>
        <w:rPr>
          <w:sz w:val="64"/>
        </w:rPr>
      </w:pPr>
      <w:r>
        <w:rPr>
          <w:sz w:val="64"/>
        </w:rPr>
        <w:t>Scott Wrehe, CISD Financial Services </w:t>
      </w:r>
      <w:hyperlink r:id="rId21">
        <w:r>
          <w:rPr>
            <w:sz w:val="64"/>
          </w:rPr>
          <w:t>scott.wrehe@southlakecarroll.edu</w:t>
        </w:r>
      </w:hyperlink>
    </w:p>
    <w:sectPr>
      <w:headerReference w:type="default" r:id="rId19"/>
      <w:footerReference w:type="default" r:id="rId20"/>
      <w:pgSz w:w="14400" w:h="10800" w:orient="landscape"/>
      <w:pgMar w:header="371" w:footer="0" w:top="2420" w:bottom="280" w:left="800" w:right="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4.240002pt;margin-top:490.485535pt;width:641pt;height:14.45pt;mso-position-horizontal-relative:page;mso-position-vertical-relative:page;z-index:-57256" type="#_x0000_t202" filled="false" stroked="false">
          <v:textbox inset="0,0,0,0">
            <w:txbxContent>
              <w:p>
                <w:pPr>
                  <w:spacing w:before="20"/>
                  <w:ind w:left="20" w:right="0" w:firstLine="0"/>
                  <w:jc w:val="left"/>
                  <w:rPr>
                    <w:rFonts w:ascii="Garamond" w:hAnsi="Garamond"/>
                    <w:b/>
                    <w:sz w:val="22"/>
                  </w:rPr>
                </w:pPr>
                <w:r>
                  <w:rPr>
                    <w:rFonts w:ascii="Garamond" w:hAnsi="Garamond"/>
                    <w:color w:val="FF0000"/>
                    <w:sz w:val="22"/>
                  </w:rPr>
                  <w:t>√  </w:t>
                </w:r>
                <w:r>
                  <w:rPr>
                    <w:rFonts w:ascii="Garamond" w:hAnsi="Garamond"/>
                    <w:b/>
                    <w:sz w:val="22"/>
                  </w:rPr>
                  <w:t>Excellence   </w:t>
                </w:r>
                <w:r>
                  <w:rPr>
                    <w:rFonts w:ascii="Garamond" w:hAnsi="Garamond"/>
                    <w:color w:val="FF0000"/>
                    <w:sz w:val="22"/>
                  </w:rPr>
                  <w:t>√  </w:t>
                </w:r>
                <w:r>
                  <w:rPr>
                    <w:rFonts w:ascii="Garamond" w:hAnsi="Garamond"/>
                    <w:b/>
                    <w:sz w:val="22"/>
                  </w:rPr>
                  <w:t>Relationships   </w:t>
                </w:r>
                <w:r>
                  <w:rPr>
                    <w:rFonts w:ascii="Garamond" w:hAnsi="Garamond"/>
                    <w:color w:val="FF0000"/>
                    <w:sz w:val="22"/>
                  </w:rPr>
                  <w:t>√  </w:t>
                </w:r>
                <w:r>
                  <w:rPr>
                    <w:rFonts w:ascii="Garamond" w:hAnsi="Garamond"/>
                    <w:b/>
                    <w:sz w:val="22"/>
                  </w:rPr>
                  <w:t>Character &amp; Integrity   </w:t>
                </w:r>
                <w:r>
                  <w:rPr>
                    <w:rFonts w:ascii="Garamond" w:hAnsi="Garamond"/>
                    <w:color w:val="FF0000"/>
                    <w:sz w:val="22"/>
                  </w:rPr>
                  <w:t>√  </w:t>
                </w:r>
                <w:r>
                  <w:rPr>
                    <w:rFonts w:ascii="Garamond" w:hAnsi="Garamond"/>
                    <w:b/>
                    <w:sz w:val="22"/>
                  </w:rPr>
                  <w:t>Innovation   </w:t>
                </w:r>
                <w:r>
                  <w:rPr>
                    <w:rFonts w:ascii="Garamond" w:hAnsi="Garamond"/>
                    <w:color w:val="FF0000"/>
                    <w:sz w:val="22"/>
                  </w:rPr>
                  <w:t>√  </w:t>
                </w:r>
                <w:r>
                  <w:rPr>
                    <w:rFonts w:ascii="Garamond" w:hAnsi="Garamond"/>
                    <w:b/>
                    <w:sz w:val="22"/>
                  </w:rPr>
                  <w:t>Open &amp; Honest Communication   </w:t>
                </w:r>
                <w:r>
                  <w:rPr>
                    <w:rFonts w:ascii="Garamond" w:hAnsi="Garamond"/>
                    <w:color w:val="FF0000"/>
                    <w:sz w:val="22"/>
                  </w:rPr>
                  <w:t>√  </w:t>
                </w:r>
                <w:r>
                  <w:rPr>
                    <w:rFonts w:ascii="Garamond" w:hAnsi="Garamond"/>
                    <w:b/>
                    <w:sz w:val="22"/>
                  </w:rPr>
                  <w:t>Compassionate Service</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0.880001pt;margin-top:509.085541pt;width:641pt;height:14.45pt;mso-position-horizontal-relative:page;mso-position-vertical-relative:page;z-index:-57232" type="#_x0000_t202" filled="false" stroked="false">
          <v:textbox inset="0,0,0,0">
            <w:txbxContent>
              <w:p>
                <w:pPr>
                  <w:spacing w:before="20"/>
                  <w:ind w:left="20" w:right="0" w:firstLine="0"/>
                  <w:jc w:val="left"/>
                  <w:rPr>
                    <w:rFonts w:ascii="Garamond" w:hAnsi="Garamond"/>
                    <w:b/>
                    <w:sz w:val="22"/>
                  </w:rPr>
                </w:pPr>
                <w:r>
                  <w:rPr>
                    <w:rFonts w:ascii="Garamond" w:hAnsi="Garamond"/>
                    <w:color w:val="FF0000"/>
                    <w:sz w:val="22"/>
                  </w:rPr>
                  <w:t>√  </w:t>
                </w:r>
                <w:r>
                  <w:rPr>
                    <w:rFonts w:ascii="Garamond" w:hAnsi="Garamond"/>
                    <w:b/>
                    <w:sz w:val="22"/>
                  </w:rPr>
                  <w:t>Excellence   </w:t>
                </w:r>
                <w:r>
                  <w:rPr>
                    <w:rFonts w:ascii="Garamond" w:hAnsi="Garamond"/>
                    <w:color w:val="FF0000"/>
                    <w:sz w:val="22"/>
                  </w:rPr>
                  <w:t>√  </w:t>
                </w:r>
                <w:r>
                  <w:rPr>
                    <w:rFonts w:ascii="Garamond" w:hAnsi="Garamond"/>
                    <w:b/>
                    <w:sz w:val="22"/>
                  </w:rPr>
                  <w:t>Relationships   </w:t>
                </w:r>
                <w:r>
                  <w:rPr>
                    <w:rFonts w:ascii="Garamond" w:hAnsi="Garamond"/>
                    <w:color w:val="FF0000"/>
                    <w:sz w:val="22"/>
                  </w:rPr>
                  <w:t>√  </w:t>
                </w:r>
                <w:r>
                  <w:rPr>
                    <w:rFonts w:ascii="Garamond" w:hAnsi="Garamond"/>
                    <w:b/>
                    <w:sz w:val="22"/>
                  </w:rPr>
                  <w:t>Character &amp; Integrity   </w:t>
                </w:r>
                <w:r>
                  <w:rPr>
                    <w:rFonts w:ascii="Garamond" w:hAnsi="Garamond"/>
                    <w:color w:val="FF0000"/>
                    <w:sz w:val="22"/>
                  </w:rPr>
                  <w:t>√  </w:t>
                </w:r>
                <w:r>
                  <w:rPr>
                    <w:rFonts w:ascii="Garamond" w:hAnsi="Garamond"/>
                    <w:b/>
                    <w:sz w:val="22"/>
                  </w:rPr>
                  <w:t>Innovation   </w:t>
                </w:r>
                <w:r>
                  <w:rPr>
                    <w:rFonts w:ascii="Garamond" w:hAnsi="Garamond"/>
                    <w:color w:val="FF0000"/>
                    <w:sz w:val="22"/>
                  </w:rPr>
                  <w:t>√  </w:t>
                </w:r>
                <w:r>
                  <w:rPr>
                    <w:rFonts w:ascii="Garamond" w:hAnsi="Garamond"/>
                    <w:b/>
                    <w:sz w:val="22"/>
                  </w:rPr>
                  <w:t>Open &amp; Honest Communication   </w:t>
                </w:r>
                <w:r>
                  <w:rPr>
                    <w:rFonts w:ascii="Garamond" w:hAnsi="Garamond"/>
                    <w:color w:val="FF0000"/>
                    <w:sz w:val="22"/>
                  </w:rPr>
                  <w:t>√  </w:t>
                </w:r>
                <w:r>
                  <w:rPr>
                    <w:rFonts w:ascii="Garamond" w:hAnsi="Garamond"/>
                    <w:b/>
                    <w:sz w:val="22"/>
                  </w:rPr>
                  <w:t>Compassionate Service</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200001pt;margin-top:489.285553pt;width:641pt;height:14.45pt;mso-position-horizontal-relative:page;mso-position-vertical-relative:page;z-index:-57208" type="#_x0000_t202" filled="false" stroked="false">
          <v:textbox inset="0,0,0,0">
            <w:txbxContent>
              <w:p>
                <w:pPr>
                  <w:spacing w:before="20"/>
                  <w:ind w:left="20" w:right="0" w:firstLine="0"/>
                  <w:jc w:val="left"/>
                  <w:rPr>
                    <w:rFonts w:ascii="Garamond" w:hAnsi="Garamond"/>
                    <w:b/>
                    <w:sz w:val="22"/>
                  </w:rPr>
                </w:pPr>
                <w:r>
                  <w:rPr>
                    <w:rFonts w:ascii="Garamond" w:hAnsi="Garamond"/>
                    <w:color w:val="FF0000"/>
                    <w:sz w:val="22"/>
                  </w:rPr>
                  <w:t>√  </w:t>
                </w:r>
                <w:r>
                  <w:rPr>
                    <w:rFonts w:ascii="Garamond" w:hAnsi="Garamond"/>
                    <w:b/>
                    <w:sz w:val="22"/>
                  </w:rPr>
                  <w:t>Excellence   </w:t>
                </w:r>
                <w:r>
                  <w:rPr>
                    <w:rFonts w:ascii="Garamond" w:hAnsi="Garamond"/>
                    <w:color w:val="FF0000"/>
                    <w:sz w:val="22"/>
                  </w:rPr>
                  <w:t>√  </w:t>
                </w:r>
                <w:r>
                  <w:rPr>
                    <w:rFonts w:ascii="Garamond" w:hAnsi="Garamond"/>
                    <w:b/>
                    <w:sz w:val="22"/>
                  </w:rPr>
                  <w:t>Relationships   </w:t>
                </w:r>
                <w:r>
                  <w:rPr>
                    <w:rFonts w:ascii="Garamond" w:hAnsi="Garamond"/>
                    <w:color w:val="FF0000"/>
                    <w:sz w:val="22"/>
                  </w:rPr>
                  <w:t>√  </w:t>
                </w:r>
                <w:r>
                  <w:rPr>
                    <w:rFonts w:ascii="Garamond" w:hAnsi="Garamond"/>
                    <w:b/>
                    <w:sz w:val="22"/>
                  </w:rPr>
                  <w:t>Character &amp; Integrity   </w:t>
                </w:r>
                <w:r>
                  <w:rPr>
                    <w:rFonts w:ascii="Garamond" w:hAnsi="Garamond"/>
                    <w:color w:val="FF0000"/>
                    <w:sz w:val="22"/>
                  </w:rPr>
                  <w:t>√  </w:t>
                </w:r>
                <w:r>
                  <w:rPr>
                    <w:rFonts w:ascii="Garamond" w:hAnsi="Garamond"/>
                    <w:b/>
                    <w:sz w:val="22"/>
                  </w:rPr>
                  <w:t>Innovation   </w:t>
                </w:r>
                <w:r>
                  <w:rPr>
                    <w:rFonts w:ascii="Garamond" w:hAnsi="Garamond"/>
                    <w:color w:val="FF0000"/>
                    <w:sz w:val="22"/>
                  </w:rPr>
                  <w:t>√  </w:t>
                </w:r>
                <w:r>
                  <w:rPr>
                    <w:rFonts w:ascii="Garamond" w:hAnsi="Garamond"/>
                    <w:b/>
                    <w:sz w:val="22"/>
                  </w:rPr>
                  <w:t>Open &amp; Honest Communication   </w:t>
                </w:r>
                <w:r>
                  <w:rPr>
                    <w:rFonts w:ascii="Garamond" w:hAnsi="Garamond"/>
                    <w:color w:val="FF0000"/>
                    <w:sz w:val="22"/>
                  </w:rPr>
                  <w:t>√  </w:t>
                </w:r>
                <w:r>
                  <w:rPr>
                    <w:rFonts w:ascii="Garamond" w:hAnsi="Garamond"/>
                    <w:b/>
                    <w:sz w:val="22"/>
                  </w:rPr>
                  <w:t>Compassionate Service</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815399pt;margin-top:465.06134pt;width:641pt;height:14.45pt;mso-position-horizontal-relative:page;mso-position-vertical-relative:page;z-index:-57184"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200001pt;margin-top:503.900848pt;width:641pt;height:14.45pt;mso-position-horizontal-relative:page;mso-position-vertical-relative:page;z-index:-57160"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200001pt;margin-top:483.285553pt;width:641pt;height:14.45pt;mso-position-horizontal-relative:page;mso-position-vertical-relative:page;z-index:-57136"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3"/>
      </w:rPr>
    </w:pPr>
    <w:r>
      <w:rPr/>
      <w:pict>
        <v:shape style="position:absolute;margin-left:30.200001pt;margin-top:501.285553pt;width:641pt;height:14.45pt;mso-position-horizontal-relative:page;mso-position-vertical-relative:page;z-index:-57112"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200001pt;margin-top:477.285553pt;width:641pt;height:14.45pt;mso-position-horizontal-relative:page;mso-position-vertical-relative:page;z-index:-57088"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200001pt;margin-top:465.285553pt;width:641pt;height:14.45pt;mso-position-horizontal-relative:page;mso-position-vertical-relative:page;z-index:-57064"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3"/>
      </w:rPr>
    </w:pPr>
    <w:r>
      <w:rPr/>
      <w:pict>
        <v:shape style="position:absolute;margin-left:42.200001pt;margin-top:483.285553pt;width:641pt;height:14.45pt;mso-position-horizontal-relative:page;mso-position-vertical-relative:page;z-index:-57040" type="#_x0000_t202" filled="false" stroked="false">
          <v:textbox inset="0,0,0,0">
            <w:txbxContent>
              <w:p>
                <w:pPr>
                  <w:spacing w:before="20"/>
                  <w:ind w:left="20" w:right="0" w:firstLine="0"/>
                  <w:jc w:val="left"/>
                  <w:rPr>
                    <w:rFonts w:ascii="Garamond" w:hAnsi="Garamond"/>
                    <w:b/>
                    <w:sz w:val="22"/>
                  </w:rPr>
                </w:pPr>
                <w:r>
                  <w:rPr>
                    <w:rFonts w:ascii="Garamond" w:hAnsi="Garamond"/>
                    <w:b/>
                    <w:color w:val="FF0000"/>
                    <w:sz w:val="22"/>
                  </w:rPr>
                  <w:t>√  </w:t>
                </w:r>
                <w:r>
                  <w:rPr>
                    <w:rFonts w:ascii="Garamond" w:hAnsi="Garamond"/>
                    <w:b/>
                    <w:sz w:val="22"/>
                  </w:rPr>
                  <w:t>Excellence   </w:t>
                </w:r>
                <w:r>
                  <w:rPr>
                    <w:rFonts w:ascii="Garamond" w:hAnsi="Garamond"/>
                    <w:b/>
                    <w:color w:val="FF0000"/>
                    <w:sz w:val="22"/>
                  </w:rPr>
                  <w:t>√  </w:t>
                </w:r>
                <w:r>
                  <w:rPr>
                    <w:rFonts w:ascii="Garamond" w:hAnsi="Garamond"/>
                    <w:b/>
                    <w:sz w:val="22"/>
                  </w:rPr>
                  <w:t>Relationships   </w:t>
                </w:r>
                <w:r>
                  <w:rPr>
                    <w:rFonts w:ascii="Garamond" w:hAnsi="Garamond"/>
                    <w:b/>
                    <w:color w:val="FF0000"/>
                    <w:sz w:val="22"/>
                  </w:rPr>
                  <w:t>√  </w:t>
                </w:r>
                <w:r>
                  <w:rPr>
                    <w:rFonts w:ascii="Garamond" w:hAnsi="Garamond"/>
                    <w:b/>
                    <w:sz w:val="22"/>
                  </w:rPr>
                  <w:t>Character &amp; Integrity   </w:t>
                </w:r>
                <w:r>
                  <w:rPr>
                    <w:rFonts w:ascii="Garamond" w:hAnsi="Garamond"/>
                    <w:b/>
                    <w:color w:val="FF0000"/>
                    <w:sz w:val="22"/>
                  </w:rPr>
                  <w:t>√  </w:t>
                </w:r>
                <w:r>
                  <w:rPr>
                    <w:rFonts w:ascii="Garamond" w:hAnsi="Garamond"/>
                    <w:b/>
                    <w:sz w:val="22"/>
                  </w:rPr>
                  <w:t>Innovation   </w:t>
                </w:r>
                <w:r>
                  <w:rPr>
                    <w:rFonts w:ascii="Garamond" w:hAnsi="Garamond"/>
                    <w:b/>
                    <w:color w:val="FF0000"/>
                    <w:sz w:val="22"/>
                  </w:rPr>
                  <w:t>√  </w:t>
                </w:r>
                <w:r>
                  <w:rPr>
                    <w:rFonts w:ascii="Garamond" w:hAnsi="Garamond"/>
                    <w:b/>
                    <w:sz w:val="22"/>
                  </w:rPr>
                  <w:t>Open &amp; Honest Communication   </w:t>
                </w:r>
                <w:r>
                  <w:rPr>
                    <w:rFonts w:ascii="Garamond" w:hAnsi="Garamond"/>
                    <w:b/>
                    <w:color w:val="FF0000"/>
                    <w:sz w:val="22"/>
                  </w:rPr>
                  <w:t>√  </w:t>
                </w:r>
                <w:r>
                  <w:rPr>
                    <w:rFonts w:ascii="Garamond" w:hAnsi="Garamond"/>
                    <w:b/>
                    <w:sz w:val="22"/>
                  </w:rPr>
                  <w:t>Compassionate Service</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45.720001pt;margin-top:18.539368pt;width:628.6pt;height:102.55pt;mso-position-horizontal-relative:page;mso-position-vertical-relative:page;z-index:-57304" coordorigin="914,371" coordsize="12572,2051">
          <v:shape style="position:absolute;left:10320;top:371;width:2160;height:2051" type="#_x0000_t75" stroked="false">
            <v:imagedata r:id="rId1" o:title=""/>
          </v:shape>
          <v:line style="position:absolute" from="960,2280" to="13440,2280" stroked="true" strokeweight="4.560pt" strokecolor="#009900">
            <v:stroke dashstyle="solid"/>
          </v:line>
          <w10:wrap type="none"/>
        </v:group>
      </w:pict>
    </w:r>
    <w:r>
      <w:rPr/>
      <w:pict>
        <v:shapetype id="_x0000_t202" o:spt="202" coordsize="21600,21600" path="m,l,21600r21600,l21600,xe">
          <v:stroke joinstyle="miter"/>
          <v:path gradientshapeok="t" o:connecttype="rect"/>
        </v:shapetype>
        <v:shape style="position:absolute;margin-left:78.199997pt;margin-top:29.050156pt;width:483.75pt;height:76.05pt;mso-position-horizontal-relative:page;mso-position-vertical-relative:page;z-index:-57280" type="#_x0000_t202" filled="false" stroked="false">
          <v:textbox inset="0,0,0,0">
            <w:txbxContent>
              <w:p>
                <w:pPr>
                  <w:spacing w:line="824" w:lineRule="exact" w:before="0"/>
                  <w:ind w:left="3260" w:right="0" w:firstLine="0"/>
                  <w:jc w:val="left"/>
                  <w:rPr>
                    <w:b/>
                    <w:sz w:val="72"/>
                  </w:rPr>
                </w:pPr>
                <w:r>
                  <w:rPr>
                    <w:b/>
                    <w:sz w:val="72"/>
                  </w:rPr>
                  <w:t>School FIRST</w:t>
                </w:r>
              </w:p>
              <w:p>
                <w:pPr>
                  <w:spacing w:before="124"/>
                  <w:ind w:left="20" w:right="0" w:firstLine="0"/>
                  <w:jc w:val="left"/>
                  <w:rPr>
                    <w:b/>
                    <w:sz w:val="48"/>
                  </w:rPr>
                </w:pPr>
                <w:r>
                  <w:rPr>
                    <w:b/>
                    <w:sz w:val="48"/>
                  </w:rPr>
                  <w:t>Financial Integrity Rating System of</w:t>
                </w:r>
                <w:r>
                  <w:rPr>
                    <w:b/>
                    <w:spacing w:val="-40"/>
                    <w:sz w:val="48"/>
                  </w:rPr>
                  <w:t> </w:t>
                </w:r>
                <w:r>
                  <w:rPr>
                    <w:b/>
                    <w:sz w:val="48"/>
                  </w:rPr>
                  <w:t>Texas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45.720001pt;margin-top:18.539368pt;width:628.6pt;height:102.55pt;mso-position-horizontal-relative:page;mso-position-vertical-relative:page;z-index:-57016" coordorigin="914,371" coordsize="12572,2051">
          <v:shape style="position:absolute;left:10320;top:371;width:2160;height:2051" type="#_x0000_t75" stroked="false">
            <v:imagedata r:id="rId1" o:title=""/>
          </v:shape>
          <v:line style="position:absolute" from="960,2280" to="13440,2280" stroked="true" strokeweight="4.560pt" strokecolor="#009900">
            <v:stroke dashstyle="solid"/>
          </v:line>
          <w10:wrap type="none"/>
        </v:group>
      </w:pict>
    </w:r>
    <w:r>
      <w:rPr/>
      <w:pict>
        <v:shape style="position:absolute;margin-left:78.199997pt;margin-top:29.050156pt;width:483.75pt;height:76.05pt;mso-position-horizontal-relative:page;mso-position-vertical-relative:page;z-index:-56992" type="#_x0000_t202" filled="false" stroked="false">
          <v:textbox inset="0,0,0,0">
            <w:txbxContent>
              <w:p>
                <w:pPr>
                  <w:spacing w:line="824" w:lineRule="exact" w:before="0"/>
                  <w:ind w:left="3260" w:right="0" w:firstLine="0"/>
                  <w:jc w:val="left"/>
                  <w:rPr>
                    <w:b/>
                    <w:sz w:val="72"/>
                  </w:rPr>
                </w:pPr>
                <w:r>
                  <w:rPr>
                    <w:b/>
                    <w:sz w:val="72"/>
                  </w:rPr>
                  <w:t>School FIRST</w:t>
                </w:r>
              </w:p>
              <w:p>
                <w:pPr>
                  <w:spacing w:before="124"/>
                  <w:ind w:left="20" w:right="0" w:firstLine="0"/>
                  <w:jc w:val="left"/>
                  <w:rPr>
                    <w:b/>
                    <w:sz w:val="48"/>
                  </w:rPr>
                </w:pPr>
                <w:r>
                  <w:rPr>
                    <w:b/>
                    <w:sz w:val="48"/>
                  </w:rPr>
                  <w:t>Financial Integrity Rating System of</w:t>
                </w:r>
                <w:r>
                  <w:rPr>
                    <w:b/>
                    <w:spacing w:val="-40"/>
                    <w:sz w:val="48"/>
                  </w:rPr>
                  <w:t> </w:t>
                </w:r>
                <w:r>
                  <w:rPr>
                    <w:b/>
                    <w:sz w:val="48"/>
                  </w:rPr>
                  <w:t>Texas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3"/>
      <w:numFmt w:val="decimal"/>
      <w:lvlText w:val="%1."/>
      <w:lvlJc w:val="left"/>
      <w:pPr>
        <w:ind w:left="784" w:hanging="540"/>
        <w:jc w:val="right"/>
      </w:pPr>
      <w:rPr>
        <w:rFonts w:hint="default" w:ascii="Arial" w:hAnsi="Arial" w:eastAsia="Arial" w:cs="Arial"/>
        <w:spacing w:val="-8"/>
        <w:w w:val="99"/>
        <w:sz w:val="36"/>
        <w:szCs w:val="36"/>
      </w:rPr>
    </w:lvl>
    <w:lvl w:ilvl="1">
      <w:start w:val="0"/>
      <w:numFmt w:val="bullet"/>
      <w:lvlText w:val="•"/>
      <w:lvlJc w:val="left"/>
      <w:pPr>
        <w:ind w:left="2044" w:hanging="540"/>
      </w:pPr>
      <w:rPr>
        <w:rFonts w:hint="default"/>
      </w:rPr>
    </w:lvl>
    <w:lvl w:ilvl="2">
      <w:start w:val="0"/>
      <w:numFmt w:val="bullet"/>
      <w:lvlText w:val="•"/>
      <w:lvlJc w:val="left"/>
      <w:pPr>
        <w:ind w:left="3308" w:hanging="540"/>
      </w:pPr>
      <w:rPr>
        <w:rFonts w:hint="default"/>
      </w:rPr>
    </w:lvl>
    <w:lvl w:ilvl="3">
      <w:start w:val="0"/>
      <w:numFmt w:val="bullet"/>
      <w:lvlText w:val="•"/>
      <w:lvlJc w:val="left"/>
      <w:pPr>
        <w:ind w:left="4572" w:hanging="540"/>
      </w:pPr>
      <w:rPr>
        <w:rFonts w:hint="default"/>
      </w:rPr>
    </w:lvl>
    <w:lvl w:ilvl="4">
      <w:start w:val="0"/>
      <w:numFmt w:val="bullet"/>
      <w:lvlText w:val="•"/>
      <w:lvlJc w:val="left"/>
      <w:pPr>
        <w:ind w:left="5836" w:hanging="540"/>
      </w:pPr>
      <w:rPr>
        <w:rFonts w:hint="default"/>
      </w:rPr>
    </w:lvl>
    <w:lvl w:ilvl="5">
      <w:start w:val="0"/>
      <w:numFmt w:val="bullet"/>
      <w:lvlText w:val="•"/>
      <w:lvlJc w:val="left"/>
      <w:pPr>
        <w:ind w:left="7100" w:hanging="540"/>
      </w:pPr>
      <w:rPr>
        <w:rFonts w:hint="default"/>
      </w:rPr>
    </w:lvl>
    <w:lvl w:ilvl="6">
      <w:start w:val="0"/>
      <w:numFmt w:val="bullet"/>
      <w:lvlText w:val="•"/>
      <w:lvlJc w:val="left"/>
      <w:pPr>
        <w:ind w:left="8364" w:hanging="540"/>
      </w:pPr>
      <w:rPr>
        <w:rFonts w:hint="default"/>
      </w:rPr>
    </w:lvl>
    <w:lvl w:ilvl="7">
      <w:start w:val="0"/>
      <w:numFmt w:val="bullet"/>
      <w:lvlText w:val="•"/>
      <w:lvlJc w:val="left"/>
      <w:pPr>
        <w:ind w:left="9628" w:hanging="540"/>
      </w:pPr>
      <w:rPr>
        <w:rFonts w:hint="default"/>
      </w:rPr>
    </w:lvl>
    <w:lvl w:ilvl="8">
      <w:start w:val="0"/>
      <w:numFmt w:val="bullet"/>
      <w:lvlText w:val="•"/>
      <w:lvlJc w:val="left"/>
      <w:pPr>
        <w:ind w:left="10892" w:hanging="5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36"/>
      <w:szCs w:val="36"/>
    </w:rPr>
  </w:style>
  <w:style w:styleId="Heading1" w:type="paragraph">
    <w:name w:val="Heading 1"/>
    <w:basedOn w:val="Normal"/>
    <w:uiPriority w:val="1"/>
    <w:qFormat/>
    <w:pPr>
      <w:spacing w:before="80"/>
      <w:ind w:left="504"/>
      <w:outlineLvl w:val="1"/>
    </w:pPr>
    <w:rPr>
      <w:rFonts w:ascii="Arial" w:hAnsi="Arial" w:eastAsia="Arial" w:cs="Arial"/>
      <w:sz w:val="64"/>
      <w:szCs w:val="64"/>
    </w:rPr>
  </w:style>
  <w:style w:styleId="Heading2" w:type="paragraph">
    <w:name w:val="Heading 2"/>
    <w:basedOn w:val="Normal"/>
    <w:uiPriority w:val="1"/>
    <w:qFormat/>
    <w:pPr>
      <w:spacing w:before="259"/>
      <w:ind w:left="1664"/>
      <w:outlineLvl w:val="2"/>
    </w:pPr>
    <w:rPr>
      <w:rFonts w:ascii="Arial" w:hAnsi="Arial" w:eastAsia="Arial" w:cs="Arial"/>
      <w:sz w:val="56"/>
      <w:szCs w:val="56"/>
    </w:rPr>
  </w:style>
  <w:style w:styleId="Heading3" w:type="paragraph">
    <w:name w:val="Heading 3"/>
    <w:basedOn w:val="Normal"/>
    <w:uiPriority w:val="1"/>
    <w:qFormat/>
    <w:pPr>
      <w:spacing w:before="81"/>
      <w:ind w:left="20"/>
      <w:outlineLvl w:val="3"/>
    </w:pPr>
    <w:rPr>
      <w:rFonts w:ascii="Arial" w:hAnsi="Arial" w:eastAsia="Arial" w:cs="Arial"/>
      <w:b/>
      <w:bCs/>
      <w:sz w:val="48"/>
      <w:szCs w:val="48"/>
    </w:rPr>
  </w:style>
  <w:style w:styleId="Heading4" w:type="paragraph">
    <w:name w:val="Heading 4"/>
    <w:basedOn w:val="Normal"/>
    <w:uiPriority w:val="1"/>
    <w:qFormat/>
    <w:pPr>
      <w:spacing w:before="23"/>
      <w:ind w:left="103"/>
      <w:outlineLvl w:val="4"/>
    </w:pPr>
    <w:rPr>
      <w:rFonts w:ascii="Arial" w:hAnsi="Arial" w:eastAsia="Arial" w:cs="Arial"/>
      <w:sz w:val="48"/>
      <w:szCs w:val="48"/>
    </w:rPr>
  </w:style>
  <w:style w:styleId="Heading5" w:type="paragraph">
    <w:name w:val="Heading 5"/>
    <w:basedOn w:val="Normal"/>
    <w:uiPriority w:val="1"/>
    <w:qFormat/>
    <w:pPr>
      <w:ind w:left="1184"/>
      <w:outlineLvl w:val="5"/>
    </w:pPr>
    <w:rPr>
      <w:rFonts w:ascii="Arial" w:hAnsi="Arial" w:eastAsia="Arial" w:cs="Arial"/>
      <w:sz w:val="40"/>
      <w:szCs w:val="40"/>
    </w:rPr>
  </w:style>
  <w:style w:styleId="ListParagraph" w:type="paragraph">
    <w:name w:val="List Paragraph"/>
    <w:basedOn w:val="Normal"/>
    <w:uiPriority w:val="1"/>
    <w:qFormat/>
    <w:pPr>
      <w:spacing w:before="183"/>
      <w:ind w:left="724" w:right="106" w:hanging="600"/>
    </w:pPr>
    <w:rPr>
      <w:rFonts w:ascii="Arial" w:hAnsi="Arial" w:eastAsia="Arial" w:cs="Arial"/>
    </w:rPr>
  </w:style>
  <w:style w:styleId="TableParagraph" w:type="paragraph">
    <w:name w:val="Table Paragraph"/>
    <w:basedOn w:val="Normal"/>
    <w:uiPriority w:val="1"/>
    <w:qFormat/>
    <w:pPr>
      <w:spacing w:before="13"/>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hyperlink" Target="http://tuna.tea.state.tx.us/First/forms/main.aspx" TargetMode="Externa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hyperlink" Target="http://www.southlakecarroll.edu/cms/lib011/TX02219131/Centricity/Domain/88/Superintendent_Contract.pdf" TargetMode="External"/><Relationship Id="rId19" Type="http://schemas.openxmlformats.org/officeDocument/2006/relationships/header" Target="header2.xml"/><Relationship Id="rId20" Type="http://schemas.openxmlformats.org/officeDocument/2006/relationships/footer" Target="footer11.xml"/><Relationship Id="rId21" Type="http://schemas.openxmlformats.org/officeDocument/2006/relationships/hyperlink" Target="mailto:scott.wrehe@southlakecarroll.edu" TargetMode="External"/><Relationship Id="rId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 Welch</dc:creator>
  <dc:title>Slide 1</dc:title>
  <dcterms:created xsi:type="dcterms:W3CDTF">2018-02-02T15:29:56Z</dcterms:created>
  <dcterms:modified xsi:type="dcterms:W3CDTF">2018-02-02T15:29:56Z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2017-11-30T00:00:00Z</vt:filetime>
  </property>
  <property fmtid="{D5CDD505-2E9C-101B-9397-08002B2CF9AE}" pid="3" name="Creator">
    <vt:lpwstr>Acrobat PDFMaker 11 for PowerPoint</vt:lpwstr>
  </property>
  <property fmtid="{D5CDD505-2E9C-101B-9397-08002B2CF9AE}" pid="4" name="LastSaved">
    <vt:filetime>2018-02-02T00:00:00Z</vt:filetime>
  </property>
</Properties>
</file>