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C5" w:rsidRPr="00446FC4" w:rsidRDefault="00093BC5" w:rsidP="0075798B">
      <w:pPr>
        <w:rPr>
          <w:rFonts w:ascii="Arial" w:hAnsi="Arial" w:cs="Arial"/>
          <w:sz w:val="20"/>
          <w:szCs w:val="20"/>
        </w:rPr>
      </w:pPr>
      <w:r w:rsidRPr="00DB1D90">
        <w:rPr>
          <w:rFonts w:ascii="Arial" w:hAnsi="Arial" w:cs="Arial"/>
          <w:sz w:val="20"/>
          <w:szCs w:val="20"/>
          <w:u w:val="single"/>
        </w:rPr>
        <w:t>Revision checklist</w:t>
      </w:r>
      <w:r w:rsidR="00DB1D90">
        <w:rPr>
          <w:rFonts w:ascii="Arial" w:hAnsi="Arial" w:cs="Arial"/>
          <w:sz w:val="20"/>
          <w:szCs w:val="20"/>
        </w:rPr>
        <w:t xml:space="preserve"> - </w:t>
      </w:r>
      <w:r w:rsidR="004F43A5" w:rsidRPr="00DB1D90">
        <w:rPr>
          <w:rFonts w:ascii="Arial" w:hAnsi="Arial" w:cs="Arial"/>
          <w:sz w:val="20"/>
          <w:szCs w:val="20"/>
          <w:u w:val="single"/>
        </w:rPr>
        <w:t>The witch craze in Britain, Europe</w:t>
      </w:r>
      <w:r w:rsidR="00DB1D90" w:rsidRPr="00DB1D90">
        <w:rPr>
          <w:rFonts w:ascii="Arial" w:hAnsi="Arial" w:cs="Arial"/>
          <w:sz w:val="20"/>
          <w:szCs w:val="20"/>
          <w:u w:val="single"/>
        </w:rPr>
        <w:t xml:space="preserve"> and North America, c1580-c1750 (Paper 3)</w:t>
      </w:r>
    </w:p>
    <w:tbl>
      <w:tblPr>
        <w:tblStyle w:val="TableGrid"/>
        <w:tblW w:w="15310" w:type="dxa"/>
        <w:tblInd w:w="-5" w:type="dxa"/>
        <w:tblLook w:val="04A0" w:firstRow="1" w:lastRow="0" w:firstColumn="1" w:lastColumn="0" w:noHBand="0" w:noVBand="1"/>
      </w:tblPr>
      <w:tblGrid>
        <w:gridCol w:w="12333"/>
        <w:gridCol w:w="993"/>
        <w:gridCol w:w="992"/>
        <w:gridCol w:w="992"/>
      </w:tblGrid>
      <w:tr w:rsidR="00615D15" w:rsidRPr="00446FC4" w:rsidTr="0075798B">
        <w:tc>
          <w:tcPr>
            <w:tcW w:w="15310" w:type="dxa"/>
            <w:gridSpan w:val="4"/>
            <w:shd w:val="clear" w:color="auto" w:fill="FFFF00"/>
          </w:tcPr>
          <w:p w:rsidR="00072EC4" w:rsidRPr="00446FC4" w:rsidRDefault="004F43A5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attitudes to witchcraft in Britain</w:t>
            </w:r>
          </w:p>
        </w:tc>
      </w:tr>
      <w:tr w:rsidR="00615D15" w:rsidRPr="00446FC4" w:rsidTr="0075798B">
        <w:tc>
          <w:tcPr>
            <w:tcW w:w="12333" w:type="dxa"/>
          </w:tcPr>
          <w:p w:rsidR="00C55475" w:rsidRPr="00446FC4" w:rsidRDefault="00615D15" w:rsidP="00615D15">
            <w:pPr>
              <w:rPr>
                <w:rFonts w:ascii="Arial" w:hAnsi="Arial" w:cs="Arial"/>
                <w:sz w:val="20"/>
                <w:szCs w:val="20"/>
              </w:rPr>
            </w:pPr>
            <w:r w:rsidRPr="00446FC4">
              <w:rPr>
                <w:rFonts w:ascii="Arial" w:hAnsi="Arial" w:cs="Arial"/>
                <w:sz w:val="20"/>
                <w:szCs w:val="20"/>
              </w:rPr>
              <w:t>Number of times revised</w:t>
            </w: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  <w:r w:rsidRPr="00446FC4">
              <w:rPr>
                <w:rFonts w:ascii="Arial" w:hAnsi="Arial" w:cs="Arial"/>
                <w:sz w:val="20"/>
                <w:szCs w:val="20"/>
              </w:rPr>
              <w:t>1st?</w:t>
            </w: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  <w:r w:rsidRPr="00446FC4">
              <w:rPr>
                <w:rFonts w:ascii="Arial" w:hAnsi="Arial" w:cs="Arial"/>
                <w:sz w:val="20"/>
                <w:szCs w:val="20"/>
              </w:rPr>
              <w:t>2nd?</w:t>
            </w: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  <w:r w:rsidRPr="00446FC4">
              <w:rPr>
                <w:rFonts w:ascii="Arial" w:hAnsi="Arial" w:cs="Arial"/>
                <w:sz w:val="20"/>
                <w:szCs w:val="20"/>
              </w:rPr>
              <w:t>3rd?</w:t>
            </w: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Boy of Burton, 1596-97 (pp.14-16)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Pendle Swindle (pp.16-17)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Demon Drummer of Tedworth, 1662 (pp.18-20)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case of Jane Wenham (pp.20-21)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influence of Lord Chief Justice Sir John Holt, 1689-1710 (pp. 22-25)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Reginald Scot’s </w:t>
            </w:r>
            <w:r>
              <w:rPr>
                <w:rFonts w:ascii="Arial" w:hAnsi="Arial" w:cs="Arial"/>
                <w:i/>
                <w:sz w:val="20"/>
                <w:szCs w:val="20"/>
              </w:rPr>
              <w:t>The Discoverie of Witchcraft</w:t>
            </w:r>
            <w:r>
              <w:rPr>
                <w:rFonts w:ascii="Arial" w:hAnsi="Arial" w:cs="Arial"/>
                <w:sz w:val="20"/>
                <w:szCs w:val="20"/>
              </w:rPr>
              <w:t>, 1584 (pp.25-28)</w:t>
            </w:r>
          </w:p>
          <w:p w:rsidR="00C55475" w:rsidRPr="00051F5A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F5A" w:rsidRPr="00446FC4" w:rsidTr="0075798B">
        <w:tc>
          <w:tcPr>
            <w:tcW w:w="12333" w:type="dxa"/>
          </w:tcPr>
          <w:p w:rsidR="00051F5A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Samuel Harsnett’s </w:t>
            </w:r>
            <w:r>
              <w:rPr>
                <w:rFonts w:ascii="Arial" w:hAnsi="Arial" w:cs="Arial"/>
                <w:i/>
                <w:sz w:val="20"/>
                <w:szCs w:val="20"/>
              </w:rPr>
              <w:t>A Discovery of the Fradulent Practises of John Darrel</w:t>
            </w:r>
            <w:r>
              <w:rPr>
                <w:rFonts w:ascii="Arial" w:hAnsi="Arial" w:cs="Arial"/>
                <w:sz w:val="20"/>
                <w:szCs w:val="20"/>
              </w:rPr>
              <w:t>, 1599 (pp. 29-30)</w:t>
            </w:r>
          </w:p>
          <w:p w:rsidR="00C55475" w:rsidRPr="00051F5A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F5A" w:rsidRPr="00446FC4" w:rsidTr="0075798B">
        <w:tc>
          <w:tcPr>
            <w:tcW w:w="12333" w:type="dxa"/>
          </w:tcPr>
          <w:p w:rsidR="00051F5A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Thomas Ady’s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 Candle in the Dark</w:t>
            </w:r>
            <w:r>
              <w:rPr>
                <w:rFonts w:ascii="Arial" w:hAnsi="Arial" w:cs="Arial"/>
                <w:sz w:val="20"/>
                <w:szCs w:val="20"/>
              </w:rPr>
              <w:t>, 1656 (pp. 30-32)</w:t>
            </w:r>
          </w:p>
          <w:p w:rsidR="00C55475" w:rsidRPr="00051F5A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F5A" w:rsidRPr="00446FC4" w:rsidTr="0075798B">
        <w:tc>
          <w:tcPr>
            <w:tcW w:w="12333" w:type="dxa"/>
          </w:tcPr>
          <w:p w:rsidR="00051F5A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John Webster’s </w:t>
            </w:r>
            <w:r>
              <w:rPr>
                <w:rFonts w:ascii="Arial" w:hAnsi="Arial" w:cs="Arial"/>
                <w:i/>
                <w:sz w:val="20"/>
                <w:szCs w:val="20"/>
              </w:rPr>
              <w:t>The Displaying of Supposed Witchcraft</w:t>
            </w:r>
            <w:r>
              <w:rPr>
                <w:rFonts w:ascii="Arial" w:hAnsi="Arial" w:cs="Arial"/>
                <w:sz w:val="20"/>
                <w:szCs w:val="20"/>
              </w:rPr>
              <w:t>, 1677 (pp. 33-34)</w:t>
            </w:r>
          </w:p>
          <w:p w:rsidR="00C55475" w:rsidRPr="00051F5A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1F5A" w:rsidRPr="00446FC4" w:rsidTr="0075798B">
        <w:tc>
          <w:tcPr>
            <w:tcW w:w="12333" w:type="dxa"/>
          </w:tcPr>
          <w:p w:rsidR="00051F5A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Publication of Balthasar Bekker’s </w:t>
            </w:r>
            <w:r>
              <w:rPr>
                <w:rFonts w:ascii="Arial" w:hAnsi="Arial" w:cs="Arial"/>
                <w:i/>
                <w:sz w:val="20"/>
                <w:szCs w:val="20"/>
              </w:rPr>
              <w:t>The Enchanted World</w:t>
            </w:r>
            <w:r>
              <w:rPr>
                <w:rFonts w:ascii="Arial" w:hAnsi="Arial" w:cs="Arial"/>
                <w:sz w:val="20"/>
                <w:szCs w:val="20"/>
              </w:rPr>
              <w:t>, 1691 (pp. 34-36)</w:t>
            </w:r>
          </w:p>
          <w:p w:rsidR="00C55475" w:rsidRPr="00051F5A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51F5A" w:rsidRPr="00446FC4" w:rsidRDefault="00051F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072EC4">
        <w:tc>
          <w:tcPr>
            <w:tcW w:w="12333" w:type="dxa"/>
            <w:shd w:val="clear" w:color="auto" w:fill="FFFF00"/>
          </w:tcPr>
          <w:p w:rsidR="00072EC4" w:rsidRDefault="00072EC4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wider intellectual context: the coming of the age of science and reason</w:t>
            </w:r>
          </w:p>
        </w:tc>
        <w:tc>
          <w:tcPr>
            <w:tcW w:w="993" w:type="dxa"/>
            <w:shd w:val="clear" w:color="auto" w:fill="FFFF00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00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coexistence of new and older ideas (pp. 40-42)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impact of Johannes Kepler (pp. 42-44)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Galileo Galilei (pp. 45-48)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Isaac Newton (pp. 48-50)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Francis Bacon and the empirical scientific approach (pp. 51-54)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foundation of Gresham College and the Royal Society (pp. 54-57)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Thomas Hobbes’ deductive reasoning and materialism (pp. 58-60)</w:t>
            </w:r>
          </w:p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John Locke and his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Essay Concerning Human Understanding </w:t>
            </w:r>
            <w:r>
              <w:rPr>
                <w:rFonts w:ascii="Arial" w:hAnsi="Arial" w:cs="Arial"/>
                <w:sz w:val="20"/>
                <w:szCs w:val="20"/>
              </w:rPr>
              <w:t>(1690) pp. 60-62)</w:t>
            </w:r>
          </w:p>
          <w:p w:rsidR="00072EC4" w:rsidRPr="00072EC4" w:rsidRDefault="00072EC4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5310" w:type="dxa"/>
            <w:gridSpan w:val="4"/>
            <w:shd w:val="clear" w:color="auto" w:fill="FFFF00"/>
          </w:tcPr>
          <w:p w:rsidR="00535F4E" w:rsidRPr="00446FC4" w:rsidRDefault="004F43A5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North Berwick witches in Scotland, 1590-01 and the aftermath to 1597</w:t>
            </w: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Witch-hunting in the late 16</w:t>
            </w:r>
            <w:r w:rsidRPr="00051F5A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century (p. 66)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Gilly Duncan’s confession (p. 66)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impact of James VI’s voyage from Denmark (pp. 67-69)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051F5A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extent to which Danish witch-hunting influenced events in Scotland (pp.</w:t>
            </w:r>
            <w:r w:rsidR="00C5547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69-</w:t>
            </w:r>
            <w:r w:rsidR="00C55475">
              <w:rPr>
                <w:rFonts w:ascii="Arial" w:hAnsi="Arial" w:cs="Arial"/>
                <w:sz w:val="20"/>
                <w:szCs w:val="20"/>
              </w:rPr>
              <w:t>70)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5D15" w:rsidRPr="00446FC4" w:rsidTr="0075798B">
        <w:tc>
          <w:tcPr>
            <w:tcW w:w="12333" w:type="dxa"/>
          </w:tcPr>
          <w:p w:rsidR="00535F4E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case of Agnes Sampson and John Fian (pp. 70-73)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615D15" w:rsidRPr="00446FC4" w:rsidRDefault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4E" w:rsidRPr="00446FC4" w:rsidTr="0075798B">
        <w:tc>
          <w:tcPr>
            <w:tcW w:w="12333" w:type="dxa"/>
          </w:tcPr>
          <w:p w:rsidR="00535F4E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role of the king and torture (pp. 74-76)</w:t>
            </w:r>
          </w:p>
          <w:p w:rsidR="00C55475" w:rsidRPr="00446FC4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535F4E" w:rsidRPr="00446FC4" w:rsidRDefault="00535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535F4E" w:rsidRPr="00446FC4" w:rsidRDefault="00535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535F4E" w:rsidRPr="00446FC4" w:rsidRDefault="00535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5475" w:rsidRPr="00446FC4" w:rsidTr="0075798B">
        <w:tc>
          <w:tcPr>
            <w:tcW w:w="12333" w:type="dxa"/>
          </w:tcPr>
          <w:p w:rsidR="00C55475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Judicial procedures (pp. 79-80)</w:t>
            </w:r>
          </w:p>
          <w:p w:rsidR="00C55475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5475" w:rsidRPr="00446FC4" w:rsidTr="0075798B">
        <w:tc>
          <w:tcPr>
            <w:tcW w:w="12333" w:type="dxa"/>
          </w:tcPr>
          <w:p w:rsidR="00C55475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Lack of central control (p.80)</w:t>
            </w:r>
          </w:p>
          <w:p w:rsidR="00C55475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5475" w:rsidRPr="00446FC4" w:rsidTr="0075798B">
        <w:tc>
          <w:tcPr>
            <w:tcW w:w="12333" w:type="dxa"/>
          </w:tcPr>
          <w:p w:rsidR="00C55475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role of James and </w:t>
            </w:r>
            <w:r>
              <w:rPr>
                <w:rFonts w:ascii="Arial" w:hAnsi="Arial" w:cs="Arial"/>
                <w:i/>
                <w:sz w:val="20"/>
                <w:szCs w:val="20"/>
              </w:rPr>
              <w:t>Daemnologie</w:t>
            </w:r>
            <w:r>
              <w:rPr>
                <w:rFonts w:ascii="Arial" w:hAnsi="Arial" w:cs="Arial"/>
                <w:sz w:val="20"/>
                <w:szCs w:val="20"/>
              </w:rPr>
              <w:t xml:space="preserve"> (pp.82-85)</w:t>
            </w:r>
          </w:p>
          <w:p w:rsidR="00C55475" w:rsidRPr="00C55475" w:rsidRDefault="00C55475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C55475" w:rsidRPr="00446FC4" w:rsidRDefault="00C5547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072EC4">
        <w:tc>
          <w:tcPr>
            <w:tcW w:w="15310" w:type="dxa"/>
            <w:gridSpan w:val="4"/>
            <w:shd w:val="clear" w:color="auto" w:fill="FFFF00"/>
          </w:tcPr>
          <w:p w:rsidR="00072EC4" w:rsidRPr="00446FC4" w:rsidRDefault="00072EC4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Lancashire witches of 1604-13</w:t>
            </w: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economic and social context (pp. 88-89)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religious context (pp. 90-91)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significance of the new witchcraft statute of 1604 (pp. 91-92)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Alizon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Device and John Law (pp. 92-93)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Old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Demdike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Old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Chattox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their witchcraft families (pp. 93-94)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investigations of Roger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Nowell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(pp. 95-98)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meeting at Malkin Tower (pp. 99-101)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Judges Bromley and Altham (pp. 101-102)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conduct and outcomes of the trial (pp. 103-105)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impact of Thomas Potts’ account (pp. 105-106)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00E9F">
        <w:tc>
          <w:tcPr>
            <w:tcW w:w="15310" w:type="dxa"/>
            <w:gridSpan w:val="4"/>
            <w:shd w:val="clear" w:color="auto" w:fill="FFFF00"/>
          </w:tcPr>
          <w:p w:rsidR="00700E9F" w:rsidRPr="00446FC4" w:rsidRDefault="00700E9F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Great Witch-Hunt in Bamberg, Germany, 1623-32</w:t>
            </w: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Reclaiming territory for the Catholic Church (pp. 110-111)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impact of the Thirty Years’ War on Bamberg (pp. 112-115)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Numbers and social groups affected by the witch-hunts (pp. 115-117)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The use of torture and property confiscations (pp. 118-121)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roles of Prince-Bishop von Dornheim and Frederick Forner (pp. 122-124)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influence of Emperor Ferdinand II and the Imperial Chamber Court (pp. 124-126)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2EC4" w:rsidRPr="00446FC4" w:rsidTr="0075798B">
        <w:tc>
          <w:tcPr>
            <w:tcW w:w="12333" w:type="dxa"/>
          </w:tcPr>
          <w:p w:rsidR="00072EC4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arrival of the Swedish army (pp. 127-128)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00E9F">
        <w:tc>
          <w:tcPr>
            <w:tcW w:w="15310" w:type="dxa"/>
            <w:gridSpan w:val="4"/>
            <w:shd w:val="clear" w:color="auto" w:fill="FFFF00"/>
          </w:tcPr>
          <w:p w:rsidR="00700E9F" w:rsidRPr="00446FC4" w:rsidRDefault="00700E9F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Matthew Hopkins and the East Anglian witch craze, 1645-47</w:t>
            </w:r>
          </w:p>
        </w:tc>
      </w:tr>
      <w:tr w:rsidR="00072EC4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impact of the breakdown of traditional authority and legal structures (pp. 132-134)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072EC4" w:rsidRPr="00446FC4" w:rsidRDefault="00072E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Economic crises (pp. 134-135)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Geography, numbers, class and gender of victims (pp. 136-140)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roles and methods of Hopkins and Stearne (pp. 141-142)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reasons for Hopkins’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Stearne’s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influence and power (pp. 142-143)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growing cost (pp. 144-145)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re-establishment of traditional authority (pp. 145-147)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role of John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Gaule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(pp.147-148)</w:t>
            </w:r>
          </w:p>
          <w:p w:rsidR="00700E9F" w:rsidRDefault="00700E9F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D90" w:rsidRPr="00446FC4" w:rsidTr="003F0E83">
        <w:tc>
          <w:tcPr>
            <w:tcW w:w="15310" w:type="dxa"/>
            <w:gridSpan w:val="4"/>
            <w:shd w:val="clear" w:color="auto" w:fill="FFFF00"/>
          </w:tcPr>
          <w:p w:rsidR="00DB1D90" w:rsidRPr="00446FC4" w:rsidRDefault="00DB1D90" w:rsidP="009E2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Cotton Mather and the Salem witch-hunt, 1692-93</w:t>
            </w: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Weakened authority following the 1688 Revolution (pp. 154-156)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Indian threats and economic crisis (pp. 156-157)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tensions (p.158)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influence of Cotton Mather (pp. 159-161)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Who instigated the hunt? (pp. 162-165)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natures of the victims (p. 166)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trials and executions (p. 167)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0E9F" w:rsidRPr="00446FC4" w:rsidTr="0075798B">
        <w:tc>
          <w:tcPr>
            <w:tcW w:w="12333" w:type="dxa"/>
          </w:tcPr>
          <w:p w:rsidR="00700E9F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roles of Cotton Mather’s father and Governor Phips (pp. 168-170)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700E9F" w:rsidRPr="00446FC4" w:rsidRDefault="00700E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D90" w:rsidRPr="00446FC4" w:rsidTr="0075798B">
        <w:tc>
          <w:tcPr>
            <w:tcW w:w="12333" w:type="dxa"/>
          </w:tcPr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general pardon (p. 171)</w:t>
            </w:r>
          </w:p>
          <w:p w:rsidR="00DB1D90" w:rsidRDefault="00DB1D90" w:rsidP="00615D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DB1D90" w:rsidRPr="00446FC4" w:rsidRDefault="00DB1D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B1D90" w:rsidRPr="00446FC4" w:rsidRDefault="00DB1D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DB1D90" w:rsidRPr="00446FC4" w:rsidRDefault="00DB1D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93BC5" w:rsidRDefault="00093BC5">
      <w:bookmarkStart w:id="0" w:name="_GoBack"/>
      <w:bookmarkEnd w:id="0"/>
    </w:p>
    <w:sectPr w:rsidR="00093BC5" w:rsidSect="00667CA1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BC5"/>
    <w:rsid w:val="00051F5A"/>
    <w:rsid w:val="00072EC4"/>
    <w:rsid w:val="00093BC5"/>
    <w:rsid w:val="001724E0"/>
    <w:rsid w:val="002D699A"/>
    <w:rsid w:val="0033718B"/>
    <w:rsid w:val="00446FC4"/>
    <w:rsid w:val="004F43A5"/>
    <w:rsid w:val="00535F4E"/>
    <w:rsid w:val="00615D15"/>
    <w:rsid w:val="00667CA1"/>
    <w:rsid w:val="00700E9F"/>
    <w:rsid w:val="0075798B"/>
    <w:rsid w:val="009E21D9"/>
    <w:rsid w:val="00A25B1D"/>
    <w:rsid w:val="00B84328"/>
    <w:rsid w:val="00C55475"/>
    <w:rsid w:val="00DB1D90"/>
    <w:rsid w:val="00F4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EF8E3"/>
  <w15:chartTrackingRefBased/>
  <w15:docId w15:val="{E24703AC-669F-4CB6-98AF-D11DC918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3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2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5924715F</Template>
  <TotalTime>1</TotalTime>
  <Pages>4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Stoddart</dc:creator>
  <cp:keywords/>
  <dc:description/>
  <cp:lastModifiedBy>Jessica Stoddart</cp:lastModifiedBy>
  <cp:revision>3</cp:revision>
  <cp:lastPrinted>2020-02-11T15:50:00Z</cp:lastPrinted>
  <dcterms:created xsi:type="dcterms:W3CDTF">2020-02-10T15:00:00Z</dcterms:created>
  <dcterms:modified xsi:type="dcterms:W3CDTF">2020-02-11T15:50:00Z</dcterms:modified>
</cp:coreProperties>
</file>