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B9FFB" w14:textId="1E2AE83D" w:rsidR="00F12E78" w:rsidRPr="005475B1" w:rsidRDefault="00F12E78" w:rsidP="00CB11E2">
      <w:pPr>
        <w:jc w:val="right"/>
        <w:rPr>
          <w:rFonts w:ascii="Times New Roman" w:hAnsi="Times New Roman" w:cs="Times New Roman"/>
          <w:b/>
        </w:rPr>
      </w:pPr>
      <w:r w:rsidRPr="005475B1">
        <w:rPr>
          <w:rFonts w:ascii="Times New Roman" w:hAnsi="Times New Roman" w:cs="Times New Roman"/>
          <w:b/>
        </w:rPr>
        <w:t>Operati</w:t>
      </w:r>
      <w:r w:rsidR="005475B1" w:rsidRPr="005475B1">
        <w:rPr>
          <w:rFonts w:ascii="Times New Roman" w:hAnsi="Times New Roman" w:cs="Times New Roman"/>
          <w:b/>
        </w:rPr>
        <w:t>ng</w:t>
      </w:r>
      <w:r w:rsidRPr="005475B1">
        <w:rPr>
          <w:rFonts w:ascii="Times New Roman" w:hAnsi="Times New Roman" w:cs="Times New Roman"/>
          <w:b/>
        </w:rPr>
        <w:t xml:space="preserve"> Policy No. 3413</w:t>
      </w:r>
    </w:p>
    <w:p w14:paraId="306B411F" w14:textId="1D4D9E44" w:rsidR="00F12E78" w:rsidRPr="005475B1" w:rsidRDefault="00F12E78" w:rsidP="00CB11E2">
      <w:pPr>
        <w:jc w:val="right"/>
        <w:rPr>
          <w:rFonts w:ascii="Times New Roman" w:hAnsi="Times New Roman" w:cs="Times New Roman"/>
          <w:b/>
        </w:rPr>
      </w:pPr>
      <w:r w:rsidRPr="005475B1">
        <w:rPr>
          <w:rFonts w:ascii="Times New Roman" w:hAnsi="Times New Roman" w:cs="Times New Roman"/>
          <w:b/>
        </w:rPr>
        <w:t>Students</w:t>
      </w:r>
    </w:p>
    <w:p w14:paraId="45BD6A40" w14:textId="77777777" w:rsidR="00F12E78" w:rsidRPr="005475B1" w:rsidRDefault="00F12E78" w:rsidP="00F12E78">
      <w:pPr>
        <w:rPr>
          <w:rFonts w:ascii="Times New Roman" w:hAnsi="Times New Roman" w:cs="Times New Roman"/>
          <w:b/>
        </w:rPr>
      </w:pPr>
    </w:p>
    <w:p w14:paraId="3C45378D" w14:textId="4AE73438" w:rsidR="00F12E78" w:rsidRPr="005475B1" w:rsidRDefault="00F12E78" w:rsidP="00F12E78">
      <w:pPr>
        <w:jc w:val="center"/>
        <w:rPr>
          <w:rFonts w:ascii="Times New Roman" w:hAnsi="Times New Roman" w:cs="Times New Roman"/>
          <w:u w:val="single"/>
        </w:rPr>
      </w:pPr>
      <w:r w:rsidRPr="005475B1">
        <w:rPr>
          <w:rFonts w:ascii="Times New Roman" w:hAnsi="Times New Roman" w:cs="Times New Roman"/>
          <w:b/>
        </w:rPr>
        <w:t>STUDENT IMMUNIZATION AND LIFE-THREATENING HEALTH CONDITIONS</w:t>
      </w:r>
    </w:p>
    <w:p w14:paraId="4670EE1F" w14:textId="77777777" w:rsidR="00F12E78" w:rsidRPr="005475B1" w:rsidRDefault="00F12E78" w:rsidP="00F12E78">
      <w:pPr>
        <w:pStyle w:val="Heading3"/>
        <w:rPr>
          <w:rFonts w:ascii="Times New Roman" w:hAnsi="Times New Roman" w:cs="Times New Roman"/>
          <w:color w:val="auto"/>
        </w:rPr>
      </w:pPr>
      <w:r w:rsidRPr="005475B1">
        <w:rPr>
          <w:rFonts w:ascii="Times New Roman" w:hAnsi="Times New Roman" w:cs="Times New Roman"/>
          <w:color w:val="auto"/>
        </w:rPr>
        <w:t>Immunizations</w:t>
      </w:r>
    </w:p>
    <w:p w14:paraId="75806619" w14:textId="23110493" w:rsidR="00A35EA1" w:rsidRPr="005475B1" w:rsidRDefault="005475B1" w:rsidP="00A35EA1">
      <w:pPr>
        <w:pStyle w:val="BodyText"/>
        <w:suppressAutoHyphens/>
        <w:rPr>
          <w:szCs w:val="24"/>
        </w:rPr>
      </w:pPr>
      <w:r>
        <w:rPr>
          <w:szCs w:val="24"/>
        </w:rPr>
        <w:t>T</w:t>
      </w:r>
      <w:r w:rsidR="00F12E78" w:rsidRPr="005475B1">
        <w:rPr>
          <w:szCs w:val="24"/>
        </w:rPr>
        <w:t xml:space="preserve">o safeguard the school community from the spread of certain communicable diseases and in recognition that prevention is a means of combating the spread of disease, ReLife </w:t>
      </w:r>
      <w:r>
        <w:rPr>
          <w:szCs w:val="24"/>
        </w:rPr>
        <w:t xml:space="preserve">School </w:t>
      </w:r>
      <w:r w:rsidR="00F12E78" w:rsidRPr="005475B1">
        <w:rPr>
          <w:szCs w:val="24"/>
        </w:rPr>
        <w:t xml:space="preserve">requires evidence </w:t>
      </w:r>
      <w:r w:rsidR="00D65FAC">
        <w:rPr>
          <w:szCs w:val="24"/>
        </w:rPr>
        <w:t xml:space="preserve">with a Certificate of Immunization Status (CIS) </w:t>
      </w:r>
      <w:r w:rsidR="00F12E78" w:rsidRPr="005475B1">
        <w:rPr>
          <w:szCs w:val="24"/>
        </w:rPr>
        <w:t>of students having been immunized against diseases as required by the State Board of Health</w:t>
      </w:r>
      <w:bookmarkStart w:id="0" w:name="_GoBack"/>
      <w:bookmarkEnd w:id="0"/>
      <w:r w:rsidR="00F12E78" w:rsidRPr="005475B1">
        <w:rPr>
          <w:szCs w:val="24"/>
        </w:rPr>
        <w:t>.</w:t>
      </w:r>
      <w:r w:rsidR="00A35EA1">
        <w:rPr>
          <w:szCs w:val="24"/>
        </w:rPr>
        <w:t xml:space="preserve"> </w:t>
      </w:r>
      <w:r w:rsidR="00C347B9">
        <w:rPr>
          <w:szCs w:val="24"/>
        </w:rPr>
        <w:t xml:space="preserve">A student’s home district </w:t>
      </w:r>
      <w:r w:rsidR="00A35EA1">
        <w:rPr>
          <w:szCs w:val="24"/>
        </w:rPr>
        <w:t xml:space="preserve">will have the responsibility </w:t>
      </w:r>
      <w:r w:rsidR="0094030F">
        <w:rPr>
          <w:szCs w:val="24"/>
        </w:rPr>
        <w:t xml:space="preserve">to provide this evidence and </w:t>
      </w:r>
      <w:r w:rsidR="00A35EA1">
        <w:rPr>
          <w:szCs w:val="24"/>
        </w:rPr>
        <w:t xml:space="preserve">to provide </w:t>
      </w:r>
      <w:r w:rsidR="00C347B9">
        <w:rPr>
          <w:szCs w:val="24"/>
        </w:rPr>
        <w:t xml:space="preserve">the </w:t>
      </w:r>
      <w:r w:rsidR="00A35EA1">
        <w:rPr>
          <w:szCs w:val="24"/>
        </w:rPr>
        <w:t>parent</w:t>
      </w:r>
      <w:r w:rsidR="00C347B9">
        <w:rPr>
          <w:szCs w:val="24"/>
        </w:rPr>
        <w:t xml:space="preserve"> or</w:t>
      </w:r>
      <w:r w:rsidR="00A35EA1">
        <w:rPr>
          <w:szCs w:val="24"/>
        </w:rPr>
        <w:t xml:space="preserve"> guardian of </w:t>
      </w:r>
      <w:r w:rsidR="00C347B9">
        <w:rPr>
          <w:szCs w:val="24"/>
        </w:rPr>
        <w:t xml:space="preserve">a </w:t>
      </w:r>
      <w:r w:rsidR="00A35EA1">
        <w:rPr>
          <w:szCs w:val="24"/>
        </w:rPr>
        <w:t xml:space="preserve">student enrolled in </w:t>
      </w:r>
      <w:proofErr w:type="spellStart"/>
      <w:r w:rsidR="00A35EA1">
        <w:rPr>
          <w:szCs w:val="24"/>
        </w:rPr>
        <w:t>ReLife</w:t>
      </w:r>
      <w:proofErr w:type="spellEnd"/>
      <w:r w:rsidR="00A35EA1">
        <w:rPr>
          <w:szCs w:val="24"/>
        </w:rPr>
        <w:t xml:space="preserve"> with information about meningococcal disease and the human papilloma virus (PVA) and vaccinations.  </w:t>
      </w:r>
    </w:p>
    <w:p w14:paraId="46F7B707" w14:textId="77777777" w:rsidR="00F12E78" w:rsidRPr="005475B1" w:rsidRDefault="00F12E78" w:rsidP="00F12E78">
      <w:pPr>
        <w:pStyle w:val="Heading3"/>
        <w:suppressAutoHyphens/>
        <w:rPr>
          <w:rFonts w:ascii="Times New Roman" w:hAnsi="Times New Roman" w:cs="Times New Roman"/>
          <w:color w:val="auto"/>
        </w:rPr>
      </w:pPr>
      <w:r w:rsidRPr="005475B1">
        <w:rPr>
          <w:rFonts w:ascii="Times New Roman" w:hAnsi="Times New Roman" w:cs="Times New Roman"/>
          <w:color w:val="auto"/>
        </w:rPr>
        <w:t>Exemptions from Immunization</w:t>
      </w:r>
    </w:p>
    <w:p w14:paraId="2835547F" w14:textId="77777777" w:rsidR="00F12E78" w:rsidRPr="005475B1" w:rsidRDefault="00F12E78" w:rsidP="00F12E78">
      <w:pPr>
        <w:pStyle w:val="BodyText"/>
        <w:suppressAutoHyphens/>
        <w:rPr>
          <w:szCs w:val="24"/>
        </w:rPr>
      </w:pPr>
      <w:r w:rsidRPr="005475B1">
        <w:rPr>
          <w:szCs w:val="24"/>
        </w:rPr>
        <w:t>ReLife shall allow for exemptions from immunization requirements only as allowed for by RCW 28A.210.090.</w:t>
      </w:r>
    </w:p>
    <w:p w14:paraId="7624F01E" w14:textId="77777777" w:rsidR="00F12E78" w:rsidRPr="005475B1" w:rsidRDefault="00F12E78" w:rsidP="00F12E78">
      <w:pPr>
        <w:pStyle w:val="Heading3"/>
        <w:rPr>
          <w:rFonts w:ascii="Times New Roman" w:hAnsi="Times New Roman" w:cs="Times New Roman"/>
          <w:color w:val="auto"/>
        </w:rPr>
      </w:pPr>
      <w:r w:rsidRPr="005475B1">
        <w:rPr>
          <w:rFonts w:ascii="Times New Roman" w:hAnsi="Times New Roman" w:cs="Times New Roman"/>
          <w:color w:val="auto"/>
        </w:rPr>
        <w:t>Life-Threatening Health Conditions</w:t>
      </w:r>
    </w:p>
    <w:p w14:paraId="021CA391" w14:textId="7112B823" w:rsidR="00F12E78" w:rsidRPr="005475B1" w:rsidRDefault="00F12E78" w:rsidP="00F12E78">
      <w:pPr>
        <w:pStyle w:val="BodyText"/>
        <w:suppressAutoHyphens/>
        <w:rPr>
          <w:bCs/>
          <w:szCs w:val="24"/>
        </w:rPr>
      </w:pPr>
      <w:r w:rsidRPr="005475B1">
        <w:rPr>
          <w:bCs/>
          <w:szCs w:val="24"/>
        </w:rPr>
        <w:t xml:space="preserve">Prior to attendance at </w:t>
      </w:r>
      <w:r w:rsidR="00263958">
        <w:rPr>
          <w:bCs/>
          <w:szCs w:val="24"/>
        </w:rPr>
        <w:t>ReLife S</w:t>
      </w:r>
      <w:r w:rsidRPr="005475B1">
        <w:rPr>
          <w:bCs/>
          <w:szCs w:val="24"/>
        </w:rPr>
        <w:t xml:space="preserve">chool, </w:t>
      </w:r>
      <w:r w:rsidR="00A35EA1">
        <w:rPr>
          <w:bCs/>
          <w:szCs w:val="24"/>
        </w:rPr>
        <w:t xml:space="preserve">the student’s home district </w:t>
      </w:r>
      <w:r w:rsidRPr="005475B1">
        <w:rPr>
          <w:szCs w:val="24"/>
        </w:rPr>
        <w:t xml:space="preserve">will </w:t>
      </w:r>
      <w:r w:rsidRPr="005475B1">
        <w:rPr>
          <w:bCs/>
          <w:szCs w:val="24"/>
        </w:rPr>
        <w:t>present a medication or treatment order addressing the condition</w:t>
      </w:r>
      <w:r w:rsidR="00A35EA1">
        <w:rPr>
          <w:bCs/>
          <w:szCs w:val="24"/>
        </w:rPr>
        <w:t xml:space="preserve"> of any student </w:t>
      </w:r>
      <w:r w:rsidR="00A35EA1" w:rsidRPr="005475B1">
        <w:rPr>
          <w:bCs/>
          <w:szCs w:val="24"/>
        </w:rPr>
        <w:t>with a life-threatening health condition</w:t>
      </w:r>
      <w:r w:rsidRPr="005475B1">
        <w:rPr>
          <w:bCs/>
          <w:szCs w:val="24"/>
        </w:rPr>
        <w:t xml:space="preserve">. A life-threatening health condition means a condition that will put the child in danger of death during the school day.  A medication or treatment order providing authority to a registered nurse and nursing plan will be in place. </w:t>
      </w:r>
    </w:p>
    <w:p w14:paraId="64753138" w14:textId="6CE93903" w:rsidR="00F12E78" w:rsidRPr="005475B1" w:rsidRDefault="00F12E78" w:rsidP="00C347B9">
      <w:pPr>
        <w:pStyle w:val="Level1"/>
        <w:suppressAutoHyphens/>
        <w:rPr>
          <w:rFonts w:cs="Times New Roman"/>
          <w:b/>
          <w:bCs/>
          <w:u w:val="single"/>
        </w:rPr>
      </w:pPr>
      <w:r w:rsidRPr="005475B1">
        <w:rPr>
          <w:bCs/>
        </w:rPr>
        <w:t>Students who have a life-threatening health condition and no medication or treatment order presented to</w:t>
      </w:r>
      <w:r w:rsidR="0094030F">
        <w:rPr>
          <w:bCs/>
        </w:rPr>
        <w:t xml:space="preserve"> </w:t>
      </w:r>
      <w:proofErr w:type="spellStart"/>
      <w:r w:rsidR="0094030F">
        <w:rPr>
          <w:bCs/>
        </w:rPr>
        <w:t>ReLife</w:t>
      </w:r>
      <w:proofErr w:type="spellEnd"/>
      <w:r w:rsidR="0094030F">
        <w:rPr>
          <w:bCs/>
        </w:rPr>
        <w:t xml:space="preserve"> </w:t>
      </w:r>
      <w:r w:rsidRPr="005475B1">
        <w:t>will</w:t>
      </w:r>
      <w:r w:rsidRPr="005475B1">
        <w:rPr>
          <w:bCs/>
        </w:rPr>
        <w:t xml:space="preserve"> be excluded from school, to the extent that ReLife </w:t>
      </w:r>
      <w:r w:rsidR="00A35EA1">
        <w:rPr>
          <w:bCs/>
        </w:rPr>
        <w:t xml:space="preserve">and the student’s home district </w:t>
      </w:r>
      <w:r w:rsidRPr="005475B1">
        <w:rPr>
          <w:bCs/>
        </w:rPr>
        <w:t xml:space="preserve">can do so consistent with federal requirements for students with disabilities under the Individuals with Disabilities Education Act (IDEA) and Section 504 of the Rehabilitation Act of 1973, and according to the </w:t>
      </w:r>
      <w:r w:rsidR="0094030F">
        <w:rPr>
          <w:bCs/>
        </w:rPr>
        <w:t xml:space="preserve">student’s </w:t>
      </w:r>
      <w:r w:rsidR="00A35EA1">
        <w:rPr>
          <w:bCs/>
        </w:rPr>
        <w:t xml:space="preserve">home district’s due process procedures </w:t>
      </w:r>
    </w:p>
    <w:p w14:paraId="0AFAEBE3" w14:textId="7743BFAC" w:rsidR="00F12E78" w:rsidRPr="005475B1" w:rsidRDefault="00F12E78" w:rsidP="00F12E78">
      <w:pPr>
        <w:pStyle w:val="References"/>
        <w:tabs>
          <w:tab w:val="left" w:pos="4860"/>
          <w:tab w:val="left" w:pos="5220"/>
        </w:tabs>
        <w:ind w:left="5220" w:hanging="5220"/>
        <w:rPr>
          <w:bCs/>
          <w:szCs w:val="24"/>
        </w:rPr>
      </w:pPr>
      <w:r w:rsidRPr="005475B1">
        <w:rPr>
          <w:bCs/>
          <w:szCs w:val="24"/>
        </w:rPr>
        <w:t>Adopted: January 2014</w:t>
      </w:r>
    </w:p>
    <w:p w14:paraId="7D1D178D" w14:textId="17AAC847" w:rsidR="00F12E78" w:rsidRPr="005475B1" w:rsidRDefault="00F12E78" w:rsidP="00F12E78">
      <w:pPr>
        <w:pStyle w:val="References"/>
        <w:tabs>
          <w:tab w:val="left" w:pos="4860"/>
          <w:tab w:val="left" w:pos="5220"/>
        </w:tabs>
        <w:ind w:left="5220" w:hanging="5220"/>
        <w:rPr>
          <w:bCs/>
          <w:szCs w:val="24"/>
        </w:rPr>
      </w:pPr>
      <w:r w:rsidRPr="005475B1">
        <w:rPr>
          <w:bCs/>
          <w:szCs w:val="24"/>
        </w:rPr>
        <w:t xml:space="preserve">Revised: </w:t>
      </w:r>
      <w:r w:rsidR="003F741A">
        <w:rPr>
          <w:bCs/>
          <w:szCs w:val="24"/>
        </w:rPr>
        <w:t xml:space="preserve"> May 2019</w:t>
      </w:r>
    </w:p>
    <w:p w14:paraId="10042AAF" w14:textId="0AE6259D" w:rsidR="00F12E78" w:rsidRPr="005475B1" w:rsidRDefault="00F12E78" w:rsidP="00F12E78">
      <w:pPr>
        <w:pStyle w:val="References"/>
        <w:tabs>
          <w:tab w:val="left" w:pos="4860"/>
          <w:tab w:val="left" w:pos="5220"/>
        </w:tabs>
        <w:ind w:left="5220" w:hanging="5220"/>
        <w:rPr>
          <w:bCs/>
          <w:szCs w:val="24"/>
        </w:rPr>
      </w:pPr>
    </w:p>
    <w:p w14:paraId="3A3DA7B1" w14:textId="7A5B6464" w:rsidR="00F12E78" w:rsidRPr="005475B1" w:rsidRDefault="00F12E78" w:rsidP="00C347B9">
      <w:pPr>
        <w:pStyle w:val="References"/>
        <w:tabs>
          <w:tab w:val="left" w:pos="4860"/>
          <w:tab w:val="left" w:pos="5220"/>
        </w:tabs>
        <w:ind w:left="5220" w:hanging="5220"/>
        <w:rPr>
          <w:bCs/>
          <w:szCs w:val="24"/>
        </w:rPr>
      </w:pPr>
      <w:r w:rsidRPr="005475B1">
        <w:rPr>
          <w:bCs/>
          <w:szCs w:val="24"/>
        </w:rPr>
        <w:t>Relevant Board Governance Policy: EL 3 Treatment of Stakeholders</w:t>
      </w:r>
    </w:p>
    <w:p w14:paraId="5841D06A" w14:textId="77777777" w:rsidR="00C347B9" w:rsidRDefault="00C347B9" w:rsidP="00C347B9">
      <w:pPr>
        <w:pStyle w:val="References"/>
        <w:tabs>
          <w:tab w:val="left" w:pos="4860"/>
          <w:tab w:val="left" w:pos="5220"/>
        </w:tabs>
        <w:ind w:left="5220" w:hanging="5220"/>
        <w:rPr>
          <w:szCs w:val="24"/>
        </w:rPr>
      </w:pPr>
    </w:p>
    <w:p w14:paraId="5DA1DB63" w14:textId="7CD6D1F6" w:rsidR="00F12E78" w:rsidRPr="005475B1" w:rsidRDefault="00F12E78" w:rsidP="00C347B9">
      <w:pPr>
        <w:pStyle w:val="References"/>
        <w:tabs>
          <w:tab w:val="left" w:pos="4860"/>
          <w:tab w:val="left" w:pos="5220"/>
        </w:tabs>
        <w:ind w:left="5220" w:hanging="5220"/>
        <w:rPr>
          <w:szCs w:val="24"/>
        </w:rPr>
      </w:pPr>
      <w:r w:rsidRPr="005475B1">
        <w:rPr>
          <w:szCs w:val="24"/>
        </w:rPr>
        <w:t>Legal References:</w:t>
      </w:r>
      <w:r w:rsidRPr="005475B1">
        <w:rPr>
          <w:szCs w:val="24"/>
        </w:rPr>
        <w:tab/>
        <w:t>RCW 28A.210 Health — Screening and requirements</w:t>
      </w:r>
    </w:p>
    <w:p w14:paraId="256A4819" w14:textId="25E954FA" w:rsidR="00F12E78" w:rsidRPr="005475B1" w:rsidRDefault="00F12E78" w:rsidP="00C347B9">
      <w:pPr>
        <w:pStyle w:val="References"/>
        <w:tabs>
          <w:tab w:val="left" w:pos="4860"/>
          <w:tab w:val="left" w:pos="5220"/>
        </w:tabs>
        <w:ind w:left="3600" w:hanging="3600"/>
        <w:rPr>
          <w:szCs w:val="24"/>
        </w:rPr>
      </w:pPr>
      <w:r w:rsidRPr="005475B1">
        <w:rPr>
          <w:szCs w:val="24"/>
        </w:rPr>
        <w:tab/>
        <w:t>WAC 246-105</w:t>
      </w:r>
      <w:r w:rsidRPr="005475B1">
        <w:rPr>
          <w:szCs w:val="24"/>
        </w:rPr>
        <w:tab/>
      </w:r>
      <w:r w:rsidR="00B21549">
        <w:rPr>
          <w:szCs w:val="24"/>
        </w:rPr>
        <w:t xml:space="preserve"> </w:t>
      </w:r>
      <w:r w:rsidRPr="005475B1">
        <w:rPr>
          <w:szCs w:val="24"/>
        </w:rPr>
        <w:t xml:space="preserve">Immunization of childcare and school children </w:t>
      </w:r>
      <w:r w:rsidR="00B21549" w:rsidRPr="005475B1">
        <w:rPr>
          <w:szCs w:val="24"/>
        </w:rPr>
        <w:t xml:space="preserve">against </w:t>
      </w:r>
      <w:r w:rsidR="00B21549">
        <w:rPr>
          <w:szCs w:val="24"/>
        </w:rPr>
        <w:t>certain</w:t>
      </w:r>
      <w:r w:rsidRPr="005475B1">
        <w:rPr>
          <w:szCs w:val="24"/>
        </w:rPr>
        <w:t xml:space="preserve"> vaccine-preventable diseases</w:t>
      </w:r>
    </w:p>
    <w:p w14:paraId="795CA678" w14:textId="77777777" w:rsidR="00F12E78" w:rsidRPr="005475B1" w:rsidRDefault="00F12E78" w:rsidP="00C347B9">
      <w:pPr>
        <w:pStyle w:val="References"/>
        <w:tabs>
          <w:tab w:val="left" w:pos="2970"/>
          <w:tab w:val="left" w:pos="4860"/>
          <w:tab w:val="left" w:pos="5220"/>
        </w:tabs>
        <w:ind w:left="5220" w:hanging="5220"/>
        <w:rPr>
          <w:szCs w:val="24"/>
        </w:rPr>
      </w:pPr>
      <w:r w:rsidRPr="005475B1">
        <w:rPr>
          <w:szCs w:val="24"/>
        </w:rPr>
        <w:tab/>
        <w:t>WAC 392-182   Student — Health records</w:t>
      </w:r>
    </w:p>
    <w:p w14:paraId="726B3D0E" w14:textId="77777777" w:rsidR="00F12E78" w:rsidRPr="005475B1" w:rsidRDefault="00F12E78" w:rsidP="00C347B9">
      <w:pPr>
        <w:pStyle w:val="References"/>
        <w:tabs>
          <w:tab w:val="clear" w:pos="5184"/>
          <w:tab w:val="left" w:pos="2970"/>
          <w:tab w:val="left" w:pos="3960"/>
          <w:tab w:val="left" w:pos="4860"/>
        </w:tabs>
        <w:ind w:left="4140" w:hanging="4140"/>
        <w:rPr>
          <w:szCs w:val="24"/>
        </w:rPr>
      </w:pPr>
      <w:r w:rsidRPr="005475B1">
        <w:rPr>
          <w:szCs w:val="24"/>
        </w:rPr>
        <w:tab/>
        <w:t>WAC 392-380   Public school pupils — Immunization requirement and life-threatening health condition</w:t>
      </w:r>
      <w:r w:rsidRPr="005475B1">
        <w:rPr>
          <w:bCs/>
          <w:szCs w:val="24"/>
        </w:rPr>
        <w:tab/>
      </w:r>
      <w:r w:rsidRPr="005475B1">
        <w:rPr>
          <w:bCs/>
          <w:szCs w:val="24"/>
        </w:rPr>
        <w:tab/>
      </w:r>
      <w:r w:rsidRPr="005475B1">
        <w:rPr>
          <w:bCs/>
          <w:szCs w:val="24"/>
        </w:rPr>
        <w:tab/>
      </w:r>
    </w:p>
    <w:p w14:paraId="7EE0579B" w14:textId="1D5834C5" w:rsidR="00F12E78" w:rsidRPr="005475B1" w:rsidRDefault="00F12E78" w:rsidP="00C347B9">
      <w:pPr>
        <w:rPr>
          <w:rFonts w:ascii="Times New Roman" w:hAnsi="Times New Roman" w:cs="Times New Roman"/>
          <w:u w:val="single"/>
        </w:rPr>
      </w:pPr>
    </w:p>
    <w:p w14:paraId="502A27C4" w14:textId="18FCA355" w:rsidR="00F12E78" w:rsidRPr="005475B1" w:rsidRDefault="00F12E78" w:rsidP="00C347B9">
      <w:pPr>
        <w:pStyle w:val="References"/>
        <w:tabs>
          <w:tab w:val="clear" w:pos="5184"/>
          <w:tab w:val="left" w:pos="3870"/>
          <w:tab w:val="left" w:pos="4860"/>
        </w:tabs>
        <w:ind w:left="2160" w:hanging="2160"/>
        <w:rPr>
          <w:bCs/>
          <w:szCs w:val="24"/>
        </w:rPr>
      </w:pPr>
      <w:r w:rsidRPr="005475B1">
        <w:rPr>
          <w:bCs/>
          <w:szCs w:val="24"/>
        </w:rPr>
        <w:t>Cross References:</w:t>
      </w:r>
      <w:r w:rsidR="00CB11E2" w:rsidRPr="005475B1">
        <w:rPr>
          <w:bCs/>
          <w:szCs w:val="24"/>
        </w:rPr>
        <w:tab/>
      </w:r>
      <w:r w:rsidRPr="005475B1">
        <w:rPr>
          <w:bCs/>
          <w:szCs w:val="24"/>
        </w:rPr>
        <w:t>Operati</w:t>
      </w:r>
      <w:r w:rsidR="003F741A">
        <w:rPr>
          <w:bCs/>
          <w:szCs w:val="24"/>
        </w:rPr>
        <w:t>ng</w:t>
      </w:r>
      <w:r w:rsidRPr="005475B1">
        <w:rPr>
          <w:bCs/>
          <w:szCs w:val="24"/>
        </w:rPr>
        <w:t xml:space="preserve"> Policy No. 2161 Special Education and Related Services for Eligible Students</w:t>
      </w:r>
    </w:p>
    <w:p w14:paraId="7C446F5A" w14:textId="3D335CE9" w:rsidR="00F12E78" w:rsidRPr="005475B1" w:rsidRDefault="00F12E78" w:rsidP="00C347B9">
      <w:pPr>
        <w:pStyle w:val="References"/>
        <w:tabs>
          <w:tab w:val="clear" w:pos="5184"/>
          <w:tab w:val="left" w:pos="2070"/>
          <w:tab w:val="left" w:pos="4860"/>
        </w:tabs>
        <w:ind w:left="2160" w:hanging="3600"/>
        <w:rPr>
          <w:bCs/>
          <w:szCs w:val="24"/>
        </w:rPr>
      </w:pPr>
      <w:r w:rsidRPr="005475B1">
        <w:rPr>
          <w:bCs/>
          <w:szCs w:val="24"/>
        </w:rPr>
        <w:tab/>
        <w:t xml:space="preserve"> Operati</w:t>
      </w:r>
      <w:r w:rsidR="003F741A">
        <w:rPr>
          <w:bCs/>
          <w:szCs w:val="24"/>
        </w:rPr>
        <w:t>ng</w:t>
      </w:r>
      <w:r w:rsidRPr="005475B1">
        <w:rPr>
          <w:bCs/>
          <w:szCs w:val="24"/>
        </w:rPr>
        <w:t xml:space="preserve"> </w:t>
      </w:r>
      <w:r w:rsidR="009C782C" w:rsidRPr="005475B1">
        <w:rPr>
          <w:bCs/>
          <w:szCs w:val="24"/>
        </w:rPr>
        <w:t>P</w:t>
      </w:r>
      <w:r w:rsidRPr="005475B1">
        <w:rPr>
          <w:bCs/>
          <w:szCs w:val="24"/>
        </w:rPr>
        <w:t>olicy No. 2162 Education of Students with Disabilities Under Section 504</w:t>
      </w:r>
    </w:p>
    <w:p w14:paraId="6870D823" w14:textId="1CB716C1" w:rsidR="00F12E78" w:rsidRPr="005475B1" w:rsidRDefault="00F12E78" w:rsidP="00F12E78">
      <w:pPr>
        <w:pStyle w:val="References"/>
        <w:tabs>
          <w:tab w:val="left" w:pos="4860"/>
          <w:tab w:val="left" w:pos="5220"/>
        </w:tabs>
        <w:ind w:left="5220" w:hanging="5220"/>
        <w:rPr>
          <w:bCs/>
          <w:szCs w:val="24"/>
        </w:rPr>
      </w:pPr>
      <w:r w:rsidRPr="005475B1">
        <w:rPr>
          <w:bCs/>
          <w:szCs w:val="24"/>
        </w:rPr>
        <w:tab/>
      </w:r>
    </w:p>
    <w:p w14:paraId="7BFFF2F0" w14:textId="6FE54AB2" w:rsidR="00B3777A" w:rsidRPr="005475B1" w:rsidRDefault="00B3777A" w:rsidP="00F12E78"/>
    <w:sectPr w:rsidR="00B3777A" w:rsidRPr="005475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98597C"/>
    <w:multiLevelType w:val="hybridMultilevel"/>
    <w:tmpl w:val="1786E78A"/>
    <w:lvl w:ilvl="0" w:tplc="1AE655FA">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E78"/>
    <w:rsid w:val="001604BA"/>
    <w:rsid w:val="00244E44"/>
    <w:rsid w:val="00263958"/>
    <w:rsid w:val="0035662C"/>
    <w:rsid w:val="003F741A"/>
    <w:rsid w:val="005475B1"/>
    <w:rsid w:val="006621D4"/>
    <w:rsid w:val="0094030F"/>
    <w:rsid w:val="009C782C"/>
    <w:rsid w:val="00A35EA1"/>
    <w:rsid w:val="00B21549"/>
    <w:rsid w:val="00B3777A"/>
    <w:rsid w:val="00C347B9"/>
    <w:rsid w:val="00CB11E2"/>
    <w:rsid w:val="00D65FAC"/>
    <w:rsid w:val="00F12E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E1F41"/>
  <w15:chartTrackingRefBased/>
  <w15:docId w15:val="{189A13FC-1EE4-4BB5-A965-604F5592F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2E78"/>
    <w:pPr>
      <w:spacing w:after="0" w:line="240" w:lineRule="auto"/>
    </w:pPr>
    <w:rPr>
      <w:rFonts w:eastAsiaTheme="minorEastAsia"/>
      <w:sz w:val="24"/>
      <w:szCs w:val="24"/>
      <w:lang w:eastAsia="ja-JP"/>
    </w:rPr>
  </w:style>
  <w:style w:type="paragraph" w:styleId="Heading3">
    <w:name w:val="heading 3"/>
    <w:basedOn w:val="Normal"/>
    <w:next w:val="Normal"/>
    <w:link w:val="Heading3Char"/>
    <w:uiPriority w:val="9"/>
    <w:qFormat/>
    <w:rsid w:val="00F12E78"/>
    <w:pPr>
      <w:keepNext/>
      <w:keepLines/>
      <w:spacing w:before="20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12E78"/>
    <w:rPr>
      <w:rFonts w:asciiTheme="majorHAnsi" w:eastAsiaTheme="majorEastAsia" w:hAnsiTheme="majorHAnsi" w:cstheme="majorBidi"/>
      <w:b/>
      <w:bCs/>
      <w:color w:val="4472C4" w:themeColor="accent1"/>
      <w:sz w:val="24"/>
      <w:szCs w:val="24"/>
      <w:lang w:eastAsia="ja-JP"/>
    </w:rPr>
  </w:style>
  <w:style w:type="paragraph" w:styleId="BodyText">
    <w:name w:val="Body Text"/>
    <w:basedOn w:val="Normal"/>
    <w:link w:val="BodyTextChar"/>
    <w:qFormat/>
    <w:rsid w:val="00F12E78"/>
    <w:pPr>
      <w:spacing w:after="120"/>
    </w:pPr>
    <w:rPr>
      <w:rFonts w:ascii="Times New Roman" w:eastAsia="Times" w:hAnsi="Times New Roman" w:cs="Times New Roman"/>
      <w:szCs w:val="20"/>
    </w:rPr>
  </w:style>
  <w:style w:type="character" w:customStyle="1" w:styleId="BodyTextChar">
    <w:name w:val="Body Text Char"/>
    <w:basedOn w:val="DefaultParagraphFont"/>
    <w:link w:val="BodyText"/>
    <w:rsid w:val="00F12E78"/>
    <w:rPr>
      <w:rFonts w:ascii="Times New Roman" w:eastAsia="Times" w:hAnsi="Times New Roman" w:cs="Times New Roman"/>
      <w:sz w:val="24"/>
      <w:szCs w:val="20"/>
      <w:lang w:eastAsia="ja-JP"/>
    </w:rPr>
  </w:style>
  <w:style w:type="paragraph" w:customStyle="1" w:styleId="References">
    <w:name w:val="References"/>
    <w:basedOn w:val="PlainText"/>
    <w:link w:val="ReferencesChar"/>
    <w:rsid w:val="00F12E78"/>
    <w:pPr>
      <w:tabs>
        <w:tab w:val="left" w:pos="-5040"/>
        <w:tab w:val="left" w:pos="2160"/>
        <w:tab w:val="left" w:pos="4680"/>
        <w:tab w:val="left" w:pos="5040"/>
        <w:tab w:val="left" w:pos="5184"/>
      </w:tabs>
      <w:suppressAutoHyphens/>
      <w:ind w:left="5040" w:hanging="5040"/>
    </w:pPr>
    <w:rPr>
      <w:rFonts w:ascii="Times New Roman" w:eastAsia="Times" w:hAnsi="Times New Roman" w:cs="Times New Roman"/>
      <w:sz w:val="24"/>
      <w:szCs w:val="20"/>
    </w:rPr>
  </w:style>
  <w:style w:type="paragraph" w:customStyle="1" w:styleId="AdoptionDate">
    <w:name w:val="Adoption Date"/>
    <w:qFormat/>
    <w:rsid w:val="00F12E78"/>
    <w:pPr>
      <w:spacing w:after="0" w:line="240" w:lineRule="auto"/>
    </w:pPr>
    <w:rPr>
      <w:rFonts w:ascii="Arial" w:eastAsia="Times New Roman" w:hAnsi="Arial" w:cs="Times New Roman"/>
      <w:b/>
      <w:noProof/>
      <w:sz w:val="20"/>
      <w:szCs w:val="20"/>
      <w:lang w:eastAsia="ja-JP"/>
    </w:rPr>
  </w:style>
  <w:style w:type="paragraph" w:customStyle="1" w:styleId="Level1">
    <w:name w:val="Level 1"/>
    <w:basedOn w:val="Normal"/>
    <w:link w:val="Level1CharChar"/>
    <w:rsid w:val="00F12E78"/>
    <w:pPr>
      <w:spacing w:after="120"/>
    </w:pPr>
    <w:rPr>
      <w:rFonts w:ascii="Times New Roman" w:eastAsia="Times New Roman" w:hAnsi="Times New Roman" w:cs="Times"/>
    </w:rPr>
  </w:style>
  <w:style w:type="character" w:customStyle="1" w:styleId="Level1CharChar">
    <w:name w:val="Level 1 Char Char"/>
    <w:link w:val="Level1"/>
    <w:rsid w:val="00F12E78"/>
    <w:rPr>
      <w:rFonts w:ascii="Times New Roman" w:eastAsia="Times New Roman" w:hAnsi="Times New Roman" w:cs="Times"/>
      <w:sz w:val="24"/>
      <w:szCs w:val="24"/>
      <w:lang w:eastAsia="ja-JP"/>
    </w:rPr>
  </w:style>
  <w:style w:type="character" w:customStyle="1" w:styleId="ReferencesChar">
    <w:name w:val="References Char"/>
    <w:link w:val="References"/>
    <w:rsid w:val="00F12E78"/>
    <w:rPr>
      <w:rFonts w:ascii="Times New Roman" w:eastAsia="Times" w:hAnsi="Times New Roman" w:cs="Times New Roman"/>
      <w:sz w:val="24"/>
      <w:szCs w:val="20"/>
      <w:lang w:eastAsia="ja-JP"/>
    </w:rPr>
  </w:style>
  <w:style w:type="paragraph" w:styleId="PlainText">
    <w:name w:val="Plain Text"/>
    <w:basedOn w:val="Normal"/>
    <w:link w:val="PlainTextChar"/>
    <w:uiPriority w:val="99"/>
    <w:semiHidden/>
    <w:unhideWhenUsed/>
    <w:rsid w:val="00F12E78"/>
    <w:rPr>
      <w:rFonts w:ascii="Consolas" w:hAnsi="Consolas"/>
      <w:sz w:val="21"/>
      <w:szCs w:val="21"/>
    </w:rPr>
  </w:style>
  <w:style w:type="character" w:customStyle="1" w:styleId="PlainTextChar">
    <w:name w:val="Plain Text Char"/>
    <w:basedOn w:val="DefaultParagraphFont"/>
    <w:link w:val="PlainText"/>
    <w:uiPriority w:val="99"/>
    <w:semiHidden/>
    <w:rsid w:val="00F12E78"/>
    <w:rPr>
      <w:rFonts w:ascii="Consolas" w:eastAsiaTheme="minorEastAsia" w:hAnsi="Consolas"/>
      <w:sz w:val="21"/>
      <w:szCs w:val="21"/>
      <w:lang w:eastAsia="ja-JP"/>
    </w:rPr>
  </w:style>
  <w:style w:type="character" w:styleId="Hyperlink">
    <w:name w:val="Hyperlink"/>
    <w:semiHidden/>
    <w:unhideWhenUsed/>
    <w:rsid w:val="00F12E78"/>
    <w:rPr>
      <w:color w:val="0000FF"/>
      <w:u w:val="single"/>
    </w:rPr>
  </w:style>
  <w:style w:type="paragraph" w:styleId="BalloonText">
    <w:name w:val="Balloon Text"/>
    <w:basedOn w:val="Normal"/>
    <w:link w:val="BalloonTextChar"/>
    <w:uiPriority w:val="99"/>
    <w:semiHidden/>
    <w:unhideWhenUsed/>
    <w:rsid w:val="00F12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E78"/>
    <w:rPr>
      <w:rFonts w:ascii="Segoe UI" w:eastAsiaTheme="minorEastAsia" w:hAnsi="Segoe UI" w:cs="Segoe UI"/>
      <w:sz w:val="18"/>
      <w:szCs w:val="1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4996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5A789-8927-4AA1-ABD1-496B2959A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353</Words>
  <Characters>2017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Debora Boeck</cp:lastModifiedBy>
  <cp:revision>2</cp:revision>
  <dcterms:created xsi:type="dcterms:W3CDTF">2019-04-17T17:39:00Z</dcterms:created>
  <dcterms:modified xsi:type="dcterms:W3CDTF">2019-04-17T17:39:00Z</dcterms:modified>
</cp:coreProperties>
</file>